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iagrams/data1.xml" ContentType="application/vnd.openxmlformats-officedocument.drawingml.diagramData+xml"/>
  <Override PartName="/word/diagrams/data2.xml" ContentType="application/vnd.openxmlformats-officedocument.drawingml.diagramData+xml"/>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theme/theme1.xml" ContentType="application/vnd.openxmlformats-officedocument.theme+xml"/>
  <Override PartName="/word/charts/colors8.xml" ContentType="application/vnd.ms-office.chartcolorstyle+xml"/>
  <Override PartName="/word/charts/chart9.xml" ContentType="application/vnd.openxmlformats-officedocument.drawingml.chart+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olors2.xml" ContentType="application/vnd.ms-office.chartcolorstyle+xml"/>
  <Override PartName="/word/charts/style2.xml" ContentType="application/vnd.ms-office.chartstyle+xml"/>
  <Override PartName="/word/charts/chart3.xml" ContentType="application/vnd.openxmlformats-officedocument.drawingml.chart+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theme/themeOverride1.xml" ContentType="application/vnd.openxmlformats-officedocument.themeOverride+xml"/>
  <Override PartName="/word/charts/style8.xml" ContentType="application/vnd.ms-office.chartstyle+xml"/>
  <Override PartName="/word/charts/style5.xml" ContentType="application/vnd.ms-office.chartstyle+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diagrams/layout1.xml" ContentType="application/vnd.openxmlformats-officedocument.drawingml.diagramLayout+xml"/>
  <Override PartName="/word/charts/chart6.xml" ContentType="application/vnd.openxmlformats-officedocument.drawingml.chart+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2.xml" ContentType="application/vnd.openxmlformats-officedocument.themeOverride+xml"/>
  <Override PartName="/word/charts/colors5.xml" ContentType="application/vnd.ms-office.chartcolorstyle+xml"/>
  <Override PartName="/word/glossary/settings.xml" ContentType="application/vnd.openxmlformats-officedocument.wordprocessingml.settings+xml"/>
  <Override PartName="/word/settings.xml" ContentType="application/vnd.openxmlformats-officedocument.wordprocessingml.settings+xml"/>
  <Override PartName="/word/glossary/document.xml" ContentType="application/vnd.openxmlformats-officedocument.wordprocessingml.document.glossary+xml"/>
  <Override PartName="/word/webSettings.xml" ContentType="application/vnd.openxmlformats-officedocument.wordprocessingml.webSettings+xml"/>
  <Override PartName="/customXml/itemProps1.xml" ContentType="application/vnd.openxmlformats-officedocument.customXmlProperties+xml"/>
  <Override PartName="/word/styles.xml" ContentType="application/vnd.openxmlformats-officedocument.wordprocessingml.styles+xml"/>
  <Override PartName="/word/fontTable.xml" ContentType="application/vnd.openxmlformats-officedocument.wordprocessingml.fontTable+xml"/>
  <Override PartName="/word/glossary/styles.xml" ContentType="application/vnd.openxmlformats-officedocument.wordprocessingml.styles+xml"/>
  <Override PartName="/word/glossary/webSettings.xml" ContentType="application/vnd.openxmlformats-officedocument.wordprocessingml.webSettings+xml"/>
  <Override PartName="/word/glossary/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D7798" w:rsidRDefault="007D7798" w:rsidP="007D7798">
      <w:pPr>
        <w:jc w:val="right"/>
        <w:rPr>
          <w:b/>
          <w:sz w:val="44"/>
        </w:rPr>
      </w:pPr>
    </w:p>
    <w:p w:rsidR="007D7798" w:rsidRDefault="007D7798" w:rsidP="007D7798">
      <w:pPr>
        <w:jc w:val="right"/>
        <w:rPr>
          <w:b/>
          <w:sz w:val="44"/>
        </w:rPr>
      </w:pPr>
    </w:p>
    <w:p w:rsidR="007D7798" w:rsidRDefault="007D7798" w:rsidP="007D7798">
      <w:pPr>
        <w:jc w:val="right"/>
        <w:rPr>
          <w:b/>
          <w:sz w:val="44"/>
        </w:rPr>
      </w:pPr>
    </w:p>
    <w:p w:rsidR="007D7798" w:rsidRDefault="007D7798" w:rsidP="007D7798">
      <w:pPr>
        <w:rPr>
          <w:b/>
          <w:sz w:val="44"/>
        </w:rPr>
      </w:pPr>
    </w:p>
    <w:p w:rsidR="007D7798" w:rsidRPr="007D7798" w:rsidRDefault="00AE23C4" w:rsidP="007D7798">
      <w:pPr>
        <w:ind w:firstLine="720"/>
        <w:jc w:val="right"/>
        <w:rPr>
          <w:b/>
          <w:sz w:val="72"/>
        </w:rPr>
      </w:pPr>
      <w:r w:rsidRPr="007D7798">
        <w:rPr>
          <w:b/>
          <w:sz w:val="72"/>
        </w:rPr>
        <w:t xml:space="preserve">NAMA </w:t>
      </w:r>
    </w:p>
    <w:p w:rsidR="0069542F" w:rsidRPr="007D7798" w:rsidRDefault="007D7798" w:rsidP="007D7798">
      <w:pPr>
        <w:jc w:val="right"/>
        <w:rPr>
          <w:b/>
          <w:sz w:val="72"/>
        </w:rPr>
      </w:pPr>
      <w:r w:rsidRPr="007D7798">
        <w:rPr>
          <w:b/>
          <w:sz w:val="72"/>
        </w:rPr>
        <w:t xml:space="preserve">Inter-Urban Rail </w:t>
      </w:r>
      <w:r w:rsidR="00AE23C4" w:rsidRPr="007D7798">
        <w:rPr>
          <w:b/>
          <w:sz w:val="72"/>
        </w:rPr>
        <w:t>B</w:t>
      </w:r>
      <w:r w:rsidRPr="007D7798">
        <w:rPr>
          <w:b/>
          <w:sz w:val="72"/>
        </w:rPr>
        <w:t>angladesh</w:t>
      </w:r>
    </w:p>
    <w:p w:rsidR="00AE23C4" w:rsidRPr="00360BC6" w:rsidRDefault="007D7798" w:rsidP="007D7798">
      <w:pPr>
        <w:rPr>
          <w:b/>
        </w:rPr>
      </w:pPr>
      <w:r w:rsidRPr="007D7798">
        <w:rPr>
          <w:b/>
          <w:noProof/>
          <w:lang w:eastAsia="en-GB"/>
        </w:rPr>
        <w:drawing>
          <wp:inline distT="0" distB="0" distL="0" distR="0">
            <wp:extent cx="5314315" cy="3808356"/>
            <wp:effectExtent l="0" t="8890" r="0" b="0"/>
            <wp:docPr id="20" name="Picture 20" descr="C:\Users\jurg grutter\Pictures\Pictures office\Rail Bangladesh\IMG_7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rg grutter\Pictures\Pictures office\Rail Bangladesh\IMG_726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5321547" cy="3813538"/>
                    </a:xfrm>
                    <a:prstGeom prst="rect">
                      <a:avLst/>
                    </a:prstGeom>
                    <a:noFill/>
                    <a:ln>
                      <a:noFill/>
                    </a:ln>
                  </pic:spPr>
                </pic:pic>
              </a:graphicData>
            </a:graphic>
          </wp:inline>
        </w:drawing>
      </w:r>
      <w:r w:rsidRPr="007D7798">
        <w:rPr>
          <w:b/>
        </w:rPr>
        <w:t xml:space="preserve"> </w:t>
      </w:r>
      <w:r>
        <w:rPr>
          <w:b/>
        </w:rPr>
        <w:br w:type="column"/>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755"/>
        <w:gridCol w:w="6241"/>
      </w:tblGrid>
      <w:tr w:rsidR="00AE23C4" w:rsidRPr="004B02E5" w:rsidTr="00AE23C4">
        <w:tc>
          <w:tcPr>
            <w:tcW w:w="2755" w:type="dxa"/>
            <w:shd w:val="clear" w:color="auto" w:fill="DBE5F1"/>
          </w:tcPr>
          <w:p w:rsidR="00AE23C4" w:rsidRPr="004B02E5" w:rsidRDefault="00AE23C4" w:rsidP="0069542F">
            <w:pPr>
              <w:spacing w:after="0" w:line="240" w:lineRule="auto"/>
              <w:rPr>
                <w:b/>
                <w:lang w:val="fr-FR"/>
              </w:rPr>
            </w:pPr>
            <w:r w:rsidRPr="004B02E5">
              <w:rPr>
                <w:b/>
                <w:lang w:val="fr-FR"/>
              </w:rPr>
              <w:t>Title</w:t>
            </w:r>
          </w:p>
        </w:tc>
        <w:tc>
          <w:tcPr>
            <w:tcW w:w="6241" w:type="dxa"/>
            <w:shd w:val="clear" w:color="auto" w:fill="auto"/>
          </w:tcPr>
          <w:p w:rsidR="00AE23C4" w:rsidRPr="001432D1" w:rsidRDefault="00AE23C4" w:rsidP="00AE23C4">
            <w:pPr>
              <w:spacing w:after="0" w:line="240" w:lineRule="auto"/>
            </w:pPr>
            <w:r w:rsidRPr="001432D1">
              <w:t xml:space="preserve">NAMA </w:t>
            </w:r>
            <w:r w:rsidR="00BE6A26">
              <w:t xml:space="preserve">Rail </w:t>
            </w:r>
            <w:r>
              <w:t>Bangladesh</w:t>
            </w:r>
          </w:p>
        </w:tc>
      </w:tr>
      <w:tr w:rsidR="00AE23C4" w:rsidRPr="004B02E5" w:rsidTr="00AE23C4">
        <w:tc>
          <w:tcPr>
            <w:tcW w:w="2755" w:type="dxa"/>
            <w:shd w:val="clear" w:color="auto" w:fill="DBE5F1"/>
          </w:tcPr>
          <w:p w:rsidR="00AE23C4" w:rsidRDefault="00AE23C4" w:rsidP="0069542F">
            <w:pPr>
              <w:spacing w:after="0" w:line="240" w:lineRule="auto"/>
              <w:rPr>
                <w:b/>
                <w:lang w:val="fr-FR"/>
              </w:rPr>
            </w:pPr>
            <w:r>
              <w:rPr>
                <w:b/>
                <w:lang w:val="fr-FR"/>
              </w:rPr>
              <w:t>Date</w:t>
            </w:r>
          </w:p>
          <w:p w:rsidR="00AE23C4" w:rsidRPr="004B02E5" w:rsidRDefault="00AE23C4" w:rsidP="0069542F">
            <w:pPr>
              <w:spacing w:after="0" w:line="240" w:lineRule="auto"/>
              <w:rPr>
                <w:b/>
                <w:lang w:val="fr-FR"/>
              </w:rPr>
            </w:pPr>
            <w:r>
              <w:rPr>
                <w:b/>
                <w:lang w:val="fr-FR"/>
              </w:rPr>
              <w:t>Version n</w:t>
            </w:r>
            <w:r w:rsidRPr="004B02E5">
              <w:rPr>
                <w:b/>
                <w:lang w:val="fr-FR"/>
              </w:rPr>
              <w:t>umber</w:t>
            </w:r>
          </w:p>
        </w:tc>
        <w:tc>
          <w:tcPr>
            <w:tcW w:w="6241" w:type="dxa"/>
            <w:shd w:val="clear" w:color="auto" w:fill="auto"/>
          </w:tcPr>
          <w:p w:rsidR="00AE23C4" w:rsidRDefault="00100058" w:rsidP="0069542F">
            <w:pPr>
              <w:spacing w:after="0" w:line="240" w:lineRule="auto"/>
              <w:rPr>
                <w:lang w:val="fr-FR"/>
              </w:rPr>
            </w:pPr>
            <w:r>
              <w:rPr>
                <w:lang w:val="fr-FR"/>
              </w:rPr>
              <w:t>06/11</w:t>
            </w:r>
            <w:r w:rsidR="00AE23C4">
              <w:rPr>
                <w:lang w:val="fr-FR"/>
              </w:rPr>
              <w:t>/2016</w:t>
            </w:r>
          </w:p>
          <w:p w:rsidR="00AE23C4" w:rsidRPr="004B02E5" w:rsidRDefault="00100058" w:rsidP="0069542F">
            <w:pPr>
              <w:spacing w:after="0" w:line="240" w:lineRule="auto"/>
              <w:rPr>
                <w:lang w:val="fr-FR"/>
              </w:rPr>
            </w:pPr>
            <w:r>
              <w:rPr>
                <w:lang w:val="fr-FR"/>
              </w:rPr>
              <w:t>1.1</w:t>
            </w:r>
          </w:p>
        </w:tc>
      </w:tr>
      <w:tr w:rsidR="00AE23C4" w:rsidRPr="004B02E5" w:rsidTr="00AE23C4">
        <w:tc>
          <w:tcPr>
            <w:tcW w:w="2755" w:type="dxa"/>
            <w:shd w:val="clear" w:color="auto" w:fill="DBE5F1"/>
          </w:tcPr>
          <w:p w:rsidR="00AE23C4" w:rsidRPr="004B02E5" w:rsidRDefault="00AE23C4" w:rsidP="0069542F">
            <w:pPr>
              <w:spacing w:after="0" w:line="240" w:lineRule="auto"/>
              <w:rPr>
                <w:b/>
                <w:lang w:val="fr-FR"/>
              </w:rPr>
            </w:pPr>
            <w:r>
              <w:rPr>
                <w:b/>
                <w:lang w:val="fr-FR"/>
              </w:rPr>
              <w:t>Sector, s</w:t>
            </w:r>
            <w:r w:rsidRPr="004B02E5">
              <w:rPr>
                <w:b/>
                <w:lang w:val="fr-FR"/>
              </w:rPr>
              <w:t>ub-sector</w:t>
            </w:r>
          </w:p>
        </w:tc>
        <w:tc>
          <w:tcPr>
            <w:tcW w:w="6241" w:type="dxa"/>
            <w:shd w:val="clear" w:color="auto" w:fill="auto"/>
          </w:tcPr>
          <w:p w:rsidR="00AE23C4" w:rsidRPr="004B02E5" w:rsidRDefault="00AE23C4" w:rsidP="0069542F">
            <w:pPr>
              <w:spacing w:after="0" w:line="240" w:lineRule="auto"/>
              <w:rPr>
                <w:lang w:val="fr-FR"/>
              </w:rPr>
            </w:pPr>
            <w:r>
              <w:rPr>
                <w:lang w:val="fr-FR"/>
              </w:rPr>
              <w:t>Transport, inter-urban</w:t>
            </w:r>
          </w:p>
        </w:tc>
      </w:tr>
      <w:tr w:rsidR="00AE23C4" w:rsidRPr="004B02E5" w:rsidTr="00AE23C4">
        <w:tc>
          <w:tcPr>
            <w:tcW w:w="2755" w:type="dxa"/>
            <w:shd w:val="clear" w:color="auto" w:fill="DBE5F1"/>
          </w:tcPr>
          <w:p w:rsidR="00AE23C4" w:rsidRPr="004B02E5" w:rsidRDefault="00AE23C4" w:rsidP="0069542F">
            <w:pPr>
              <w:spacing w:after="0" w:line="240" w:lineRule="auto"/>
              <w:rPr>
                <w:b/>
                <w:lang w:val="fr-FR"/>
              </w:rPr>
            </w:pPr>
            <w:r w:rsidRPr="004B02E5">
              <w:rPr>
                <w:b/>
                <w:lang w:val="fr-FR"/>
              </w:rPr>
              <w:t>Country, region</w:t>
            </w:r>
          </w:p>
        </w:tc>
        <w:tc>
          <w:tcPr>
            <w:tcW w:w="6241" w:type="dxa"/>
            <w:shd w:val="clear" w:color="auto" w:fill="auto"/>
          </w:tcPr>
          <w:p w:rsidR="00AE23C4" w:rsidRPr="004B02E5" w:rsidRDefault="00AE23C4" w:rsidP="0069542F">
            <w:pPr>
              <w:spacing w:after="0" w:line="240" w:lineRule="auto"/>
            </w:pPr>
            <w:r>
              <w:t>Bangladesh, entire country</w:t>
            </w:r>
          </w:p>
        </w:tc>
      </w:tr>
      <w:tr w:rsidR="00AE23C4" w:rsidRPr="004B02E5" w:rsidTr="00AE23C4">
        <w:tc>
          <w:tcPr>
            <w:tcW w:w="2755" w:type="dxa"/>
            <w:shd w:val="clear" w:color="auto" w:fill="DBE5F1"/>
          </w:tcPr>
          <w:p w:rsidR="00AE23C4" w:rsidRPr="004B02E5" w:rsidRDefault="00AE23C4" w:rsidP="0069542F">
            <w:pPr>
              <w:spacing w:after="0" w:line="240" w:lineRule="auto"/>
              <w:rPr>
                <w:b/>
                <w:lang w:val="fr-FR"/>
              </w:rPr>
            </w:pPr>
            <w:r w:rsidRPr="004B02E5">
              <w:rPr>
                <w:b/>
                <w:lang w:val="fr-FR"/>
              </w:rPr>
              <w:t xml:space="preserve">Responsible entity </w:t>
            </w:r>
          </w:p>
        </w:tc>
        <w:tc>
          <w:tcPr>
            <w:tcW w:w="6241" w:type="dxa"/>
            <w:shd w:val="clear" w:color="auto" w:fill="auto"/>
          </w:tcPr>
          <w:p w:rsidR="00AE23C4" w:rsidRPr="004B02E5" w:rsidRDefault="00AE23C4" w:rsidP="0069542F">
            <w:pPr>
              <w:spacing w:after="0" w:line="240" w:lineRule="auto"/>
              <w:rPr>
                <w:lang w:val="fr-FR"/>
              </w:rPr>
            </w:pPr>
            <w:r>
              <w:rPr>
                <w:lang w:val="fr-FR"/>
              </w:rPr>
              <w:t>Bangladesh Railway</w:t>
            </w:r>
          </w:p>
        </w:tc>
      </w:tr>
      <w:tr w:rsidR="00AE23C4" w:rsidRPr="004B02E5" w:rsidTr="00AE23C4">
        <w:tc>
          <w:tcPr>
            <w:tcW w:w="2755" w:type="dxa"/>
            <w:shd w:val="clear" w:color="auto" w:fill="DBE5F1"/>
          </w:tcPr>
          <w:p w:rsidR="00AE23C4" w:rsidRPr="004B02E5" w:rsidRDefault="00AE23C4" w:rsidP="00AE23C4">
            <w:pPr>
              <w:spacing w:after="0" w:line="240" w:lineRule="auto"/>
              <w:rPr>
                <w:b/>
                <w:lang w:val="fr-FR"/>
              </w:rPr>
            </w:pPr>
            <w:r w:rsidRPr="004B02E5">
              <w:rPr>
                <w:b/>
                <w:lang w:val="fr-FR"/>
              </w:rPr>
              <w:t>NAMA formulating entity</w:t>
            </w:r>
          </w:p>
        </w:tc>
        <w:tc>
          <w:tcPr>
            <w:tcW w:w="6241" w:type="dxa"/>
            <w:shd w:val="clear" w:color="auto" w:fill="auto"/>
          </w:tcPr>
          <w:p w:rsidR="00AE23C4" w:rsidRPr="004B02E5" w:rsidRDefault="00AE23C4" w:rsidP="00AE23C4">
            <w:pPr>
              <w:spacing w:after="0" w:line="240" w:lineRule="auto"/>
              <w:rPr>
                <w:lang w:val="fr-FR"/>
              </w:rPr>
            </w:pPr>
            <w:r w:rsidRPr="004B02E5">
              <w:rPr>
                <w:lang w:val="fr-FR"/>
              </w:rPr>
              <w:t xml:space="preserve">Grütter Consulting, </w:t>
            </w:r>
            <w:hyperlink r:id="rId9" w:history="1">
              <w:r w:rsidRPr="004B02E5">
                <w:rPr>
                  <w:rStyle w:val="Hyperlink"/>
                  <w:lang w:val="fr-FR"/>
                </w:rPr>
                <w:t>jgruetter@gmail.com</w:t>
              </w:r>
            </w:hyperlink>
          </w:p>
        </w:tc>
      </w:tr>
      <w:tr w:rsidR="00AE23C4" w:rsidRPr="004B02E5" w:rsidTr="00AE23C4">
        <w:tc>
          <w:tcPr>
            <w:tcW w:w="2755" w:type="dxa"/>
            <w:shd w:val="clear" w:color="auto" w:fill="DBE5F1"/>
          </w:tcPr>
          <w:p w:rsidR="00AE23C4" w:rsidRPr="004B02E5" w:rsidRDefault="00AE23C4" w:rsidP="00AE23C4">
            <w:pPr>
              <w:spacing w:after="0" w:line="240" w:lineRule="auto"/>
              <w:rPr>
                <w:b/>
              </w:rPr>
            </w:pPr>
            <w:r w:rsidRPr="004B02E5">
              <w:rPr>
                <w:b/>
              </w:rPr>
              <w:t>Time frame</w:t>
            </w:r>
          </w:p>
        </w:tc>
        <w:tc>
          <w:tcPr>
            <w:tcW w:w="6241" w:type="dxa"/>
            <w:shd w:val="clear" w:color="auto" w:fill="auto"/>
          </w:tcPr>
          <w:p w:rsidR="00AE23C4" w:rsidRPr="004B02E5" w:rsidRDefault="00AE23C4" w:rsidP="00AE23C4">
            <w:pPr>
              <w:spacing w:after="0" w:line="240" w:lineRule="auto"/>
            </w:pPr>
            <w:r>
              <w:t>2018-2030</w:t>
            </w:r>
          </w:p>
        </w:tc>
      </w:tr>
      <w:tr w:rsidR="00AE23C4" w:rsidRPr="004B02E5" w:rsidTr="00AE23C4">
        <w:tc>
          <w:tcPr>
            <w:tcW w:w="2755" w:type="dxa"/>
            <w:shd w:val="clear" w:color="auto" w:fill="DBE5F1"/>
          </w:tcPr>
          <w:p w:rsidR="00AE23C4" w:rsidRPr="004B02E5" w:rsidRDefault="00AE23C4" w:rsidP="00AE23C4">
            <w:pPr>
              <w:spacing w:after="0" w:line="240" w:lineRule="auto"/>
              <w:rPr>
                <w:b/>
              </w:rPr>
            </w:pPr>
            <w:r w:rsidRPr="004B02E5">
              <w:rPr>
                <w:b/>
              </w:rPr>
              <w:t>Objective</w:t>
            </w:r>
          </w:p>
        </w:tc>
        <w:tc>
          <w:tcPr>
            <w:tcW w:w="6241" w:type="dxa"/>
            <w:shd w:val="clear" w:color="auto" w:fill="auto"/>
          </w:tcPr>
          <w:p w:rsidR="00AE23C4" w:rsidRPr="004B02E5" w:rsidRDefault="00AE23C4" w:rsidP="00AE23C4">
            <w:pPr>
              <w:spacing w:after="0" w:line="240" w:lineRule="auto"/>
            </w:pPr>
            <w:r>
              <w:t>Reduce significantly inter-urban transport GHG and criteria pollutant emissions in Bangladesh</w:t>
            </w:r>
          </w:p>
        </w:tc>
      </w:tr>
      <w:tr w:rsidR="00AE23C4" w:rsidRPr="004B02E5" w:rsidTr="00AE23C4">
        <w:tc>
          <w:tcPr>
            <w:tcW w:w="2755" w:type="dxa"/>
            <w:shd w:val="clear" w:color="auto" w:fill="DBE5F1"/>
          </w:tcPr>
          <w:p w:rsidR="00AE23C4" w:rsidRPr="004B02E5" w:rsidRDefault="00AE23C4" w:rsidP="00AE23C4">
            <w:pPr>
              <w:spacing w:after="0" w:line="240" w:lineRule="auto"/>
              <w:rPr>
                <w:b/>
              </w:rPr>
            </w:pPr>
            <w:r>
              <w:rPr>
                <w:b/>
              </w:rPr>
              <w:t>Transformational change</w:t>
            </w:r>
          </w:p>
        </w:tc>
        <w:tc>
          <w:tcPr>
            <w:tcW w:w="6241" w:type="dxa"/>
            <w:shd w:val="clear" w:color="auto" w:fill="auto"/>
          </w:tcPr>
          <w:p w:rsidR="00AE23C4" w:rsidRPr="004B02E5" w:rsidRDefault="00BE6A26" w:rsidP="00BE6A26">
            <w:pPr>
              <w:spacing w:after="0" w:line="240" w:lineRule="auto"/>
            </w:pPr>
            <w:r>
              <w:t>Revert the trend of a d</w:t>
            </w:r>
            <w:r w:rsidR="008003B7">
              <w:t xml:space="preserve">eclining mode share of rail in passenger </w:t>
            </w:r>
            <w:r>
              <w:t>and freight transport</w:t>
            </w:r>
          </w:p>
        </w:tc>
      </w:tr>
      <w:tr w:rsidR="00AE23C4" w:rsidRPr="004B02E5" w:rsidTr="00AE23C4">
        <w:tc>
          <w:tcPr>
            <w:tcW w:w="2755" w:type="dxa"/>
            <w:shd w:val="clear" w:color="auto" w:fill="DBE5F1"/>
          </w:tcPr>
          <w:p w:rsidR="00AE23C4" w:rsidRPr="004B02E5" w:rsidRDefault="00AE23C4" w:rsidP="00AE23C4">
            <w:pPr>
              <w:spacing w:after="0" w:line="240" w:lineRule="auto"/>
              <w:rPr>
                <w:b/>
              </w:rPr>
            </w:pPr>
            <w:r w:rsidRPr="004B02E5">
              <w:rPr>
                <w:b/>
              </w:rPr>
              <w:t>Main components</w:t>
            </w:r>
          </w:p>
        </w:tc>
        <w:tc>
          <w:tcPr>
            <w:tcW w:w="6241" w:type="dxa"/>
            <w:shd w:val="clear" w:color="auto" w:fill="auto"/>
          </w:tcPr>
          <w:p w:rsidR="00AE23C4" w:rsidRPr="004B02E5" w:rsidRDefault="00BE6A26" w:rsidP="00AE23C4">
            <w:pPr>
              <w:spacing w:after="0" w:line="240" w:lineRule="auto"/>
            </w:pPr>
            <w:r>
              <w:t>I</w:t>
            </w:r>
            <w:r w:rsidR="008003B7">
              <w:t>nvestment in expanding and upgrading rail services</w:t>
            </w:r>
          </w:p>
        </w:tc>
      </w:tr>
      <w:tr w:rsidR="00AE23C4" w:rsidRPr="004B02E5" w:rsidTr="00AE23C4">
        <w:tc>
          <w:tcPr>
            <w:tcW w:w="2755" w:type="dxa"/>
            <w:shd w:val="clear" w:color="auto" w:fill="DBE5F1"/>
          </w:tcPr>
          <w:p w:rsidR="00AE23C4" w:rsidRPr="004B02E5" w:rsidRDefault="00AE23C4" w:rsidP="00AE23C4">
            <w:pPr>
              <w:spacing w:after="0" w:line="240" w:lineRule="auto"/>
              <w:rPr>
                <w:b/>
              </w:rPr>
            </w:pPr>
            <w:r w:rsidRPr="004B02E5">
              <w:rPr>
                <w:b/>
              </w:rPr>
              <w:t>Estimated cumulative GHG reduction 2018-2030</w:t>
            </w:r>
          </w:p>
        </w:tc>
        <w:tc>
          <w:tcPr>
            <w:tcW w:w="6241" w:type="dxa"/>
            <w:shd w:val="clear" w:color="auto" w:fill="auto"/>
          </w:tcPr>
          <w:p w:rsidR="00AE23C4" w:rsidRPr="00105B65" w:rsidRDefault="008003B7" w:rsidP="00AE23C4">
            <w:pPr>
              <w:spacing w:after="0" w:line="240" w:lineRule="auto"/>
            </w:pPr>
            <w:r>
              <w:t>3.03 MtCO</w:t>
            </w:r>
            <w:r w:rsidRPr="008003B7">
              <w:rPr>
                <w:vertAlign w:val="subscript"/>
              </w:rPr>
              <w:t>2e</w:t>
            </w:r>
            <w:r>
              <w:t xml:space="preserve"> avoided WTW including Black Carbon</w:t>
            </w:r>
          </w:p>
        </w:tc>
      </w:tr>
      <w:tr w:rsidR="00AE23C4" w:rsidRPr="004B02E5" w:rsidTr="00AE23C4">
        <w:tc>
          <w:tcPr>
            <w:tcW w:w="2755" w:type="dxa"/>
            <w:shd w:val="clear" w:color="auto" w:fill="DBE5F1"/>
          </w:tcPr>
          <w:p w:rsidR="00AE23C4" w:rsidRDefault="00AE23C4" w:rsidP="00AE23C4">
            <w:pPr>
              <w:spacing w:after="0" w:line="240" w:lineRule="auto"/>
              <w:rPr>
                <w:b/>
              </w:rPr>
            </w:pPr>
            <w:r>
              <w:rPr>
                <w:b/>
              </w:rPr>
              <w:t>Sustainable Development Impact</w:t>
            </w:r>
            <w:r w:rsidR="008003B7">
              <w:rPr>
                <w:b/>
              </w:rPr>
              <w:t xml:space="preserve"> 2018-2030</w:t>
            </w:r>
          </w:p>
        </w:tc>
        <w:tc>
          <w:tcPr>
            <w:tcW w:w="6241" w:type="dxa"/>
            <w:shd w:val="clear" w:color="auto" w:fill="auto"/>
          </w:tcPr>
          <w:p w:rsidR="00AE23C4" w:rsidRDefault="008003B7" w:rsidP="00AE23C4">
            <w:pPr>
              <w:spacing w:after="0" w:line="240" w:lineRule="auto"/>
            </w:pPr>
            <w:r>
              <w:t>235 avoided fatalities from transportation</w:t>
            </w:r>
          </w:p>
          <w:p w:rsidR="008003B7" w:rsidRDefault="00BE6A26" w:rsidP="00AE23C4">
            <w:pPr>
              <w:spacing w:after="0" w:line="240" w:lineRule="auto"/>
            </w:pPr>
            <w:r>
              <w:t>735 million litre</w:t>
            </w:r>
            <w:r w:rsidR="008003B7">
              <w:t>s of diesel saved</w:t>
            </w:r>
          </w:p>
          <w:p w:rsidR="008003B7" w:rsidRDefault="008003B7" w:rsidP="00AE23C4">
            <w:pPr>
              <w:spacing w:after="0" w:line="240" w:lineRule="auto"/>
            </w:pPr>
            <w:r>
              <w:t>850</w:t>
            </w:r>
            <w:r w:rsidR="00BE6A26">
              <w:t xml:space="preserve"> </w:t>
            </w:r>
            <w:r>
              <w:t>t</w:t>
            </w:r>
            <w:r w:rsidR="00BE6A26">
              <w:t>ons</w:t>
            </w:r>
            <w:r>
              <w:t xml:space="preserve"> PM and 19,500 t</w:t>
            </w:r>
            <w:r w:rsidR="00BE6A26">
              <w:t xml:space="preserve">ons </w:t>
            </w:r>
            <w:r>
              <w:t>NO</w:t>
            </w:r>
            <w:r w:rsidRPr="008003B7">
              <w:rPr>
                <w:vertAlign w:val="subscript"/>
              </w:rPr>
              <w:t>x</w:t>
            </w:r>
            <w:r>
              <w:t xml:space="preserve"> avoided</w:t>
            </w:r>
          </w:p>
          <w:p w:rsidR="008003B7" w:rsidRDefault="008003B7" w:rsidP="00AE23C4">
            <w:pPr>
              <w:spacing w:after="0" w:line="240" w:lineRule="auto"/>
            </w:pPr>
            <w:r>
              <w:t>511 MUSD saved in social and environmental costs</w:t>
            </w:r>
          </w:p>
        </w:tc>
      </w:tr>
      <w:tr w:rsidR="00AE23C4" w:rsidRPr="004B02E5" w:rsidTr="00AE23C4">
        <w:tc>
          <w:tcPr>
            <w:tcW w:w="2755" w:type="dxa"/>
            <w:shd w:val="clear" w:color="auto" w:fill="DBE5F1"/>
          </w:tcPr>
          <w:p w:rsidR="00AE23C4" w:rsidRPr="004B02E5" w:rsidRDefault="00AE23C4" w:rsidP="00AE23C4">
            <w:pPr>
              <w:spacing w:after="0" w:line="240" w:lineRule="auto"/>
              <w:rPr>
                <w:b/>
              </w:rPr>
            </w:pPr>
            <w:r>
              <w:rPr>
                <w:b/>
              </w:rPr>
              <w:t>Finance</w:t>
            </w:r>
          </w:p>
        </w:tc>
        <w:tc>
          <w:tcPr>
            <w:tcW w:w="6241" w:type="dxa"/>
            <w:shd w:val="clear" w:color="auto" w:fill="auto"/>
          </w:tcPr>
          <w:p w:rsidR="00AE23C4" w:rsidRDefault="008003B7" w:rsidP="00AE23C4">
            <w:pPr>
              <w:spacing w:after="0" w:line="240" w:lineRule="auto"/>
            </w:pPr>
            <w:r>
              <w:t>Investment requirement of 30 billion USD of which 13.6 billion USD</w:t>
            </w:r>
            <w:r w:rsidR="00BE6A26">
              <w:t xml:space="preserve"> in the period</w:t>
            </w:r>
            <w:r>
              <w:t xml:space="preserve"> 2015-2030</w:t>
            </w:r>
            <w:r>
              <w:rPr>
                <w:rStyle w:val="FootnoteReference"/>
              </w:rPr>
              <w:footnoteReference w:id="1"/>
            </w:r>
          </w:p>
        </w:tc>
      </w:tr>
    </w:tbl>
    <w:p w:rsidR="00AE23C4" w:rsidRDefault="00AE23C4" w:rsidP="00AE23C4"/>
    <w:p w:rsidR="005E74A2" w:rsidRPr="005E74A2" w:rsidRDefault="005E74A2" w:rsidP="00AE23C4">
      <w:pPr>
        <w:rPr>
          <w:i/>
        </w:rPr>
      </w:pPr>
      <w:r w:rsidRPr="005E74A2">
        <w:rPr>
          <w:i/>
        </w:rPr>
        <w:t xml:space="preserve">The NAMA </w:t>
      </w:r>
      <w:r w:rsidR="00BE6A26">
        <w:rPr>
          <w:i/>
        </w:rPr>
        <w:t xml:space="preserve">Rail </w:t>
      </w:r>
      <w:r w:rsidRPr="005E74A2">
        <w:rPr>
          <w:i/>
        </w:rPr>
        <w:t xml:space="preserve">Bangladesh was developed by </w:t>
      </w:r>
      <w:r w:rsidR="00C14C7F">
        <w:rPr>
          <w:i/>
        </w:rPr>
        <w:t>Grütter</w:t>
      </w:r>
      <w:r w:rsidRPr="005E74A2">
        <w:rPr>
          <w:i/>
        </w:rPr>
        <w:t xml:space="preserve"> Consulting under contract from ADB. </w:t>
      </w:r>
      <w:r w:rsidRPr="005E74A2">
        <w:rPr>
          <w:rFonts w:cs="Arial"/>
          <w:i/>
        </w:rPr>
        <w:t>The Nordic Development Fund (NDF) is the financier of this assignment.</w:t>
      </w:r>
    </w:p>
    <w:p w:rsidR="007D7798" w:rsidRDefault="00AE23C4" w:rsidP="00AE23C4">
      <w:pPr>
        <w:pStyle w:val="Heading1"/>
      </w:pPr>
      <w:r>
        <w:br w:type="column"/>
      </w:r>
      <w:bookmarkStart w:id="0" w:name="_Toc452256031"/>
      <w:bookmarkStart w:id="1" w:name="_Toc444623306"/>
      <w:bookmarkStart w:id="2" w:name="_Toc444629669"/>
      <w:bookmarkStart w:id="3" w:name="_Toc466207330"/>
      <w:r w:rsidR="007D7798">
        <w:lastRenderedPageBreak/>
        <w:t>Contents</w:t>
      </w:r>
      <w:bookmarkEnd w:id="0"/>
      <w:bookmarkEnd w:id="3"/>
    </w:p>
    <w:sdt>
      <w:sdtPr>
        <w:rPr>
          <w:rFonts w:asciiTheme="minorHAnsi" w:eastAsiaTheme="minorHAnsi" w:hAnsiTheme="minorHAnsi" w:cstheme="minorBidi"/>
          <w:color w:val="auto"/>
          <w:sz w:val="22"/>
          <w:szCs w:val="22"/>
          <w:lang w:val="en-GB"/>
        </w:rPr>
        <w:id w:val="-1401753292"/>
        <w:docPartObj>
          <w:docPartGallery w:val="Table of Contents"/>
          <w:docPartUnique/>
        </w:docPartObj>
      </w:sdtPr>
      <w:sdtEndPr>
        <w:rPr>
          <w:b/>
          <w:bCs/>
          <w:noProof/>
        </w:rPr>
      </w:sdtEndPr>
      <w:sdtContent>
        <w:p w:rsidR="00FA0952" w:rsidRDefault="00FA0952">
          <w:pPr>
            <w:pStyle w:val="TOCHeading"/>
          </w:pPr>
        </w:p>
        <w:p w:rsidR="00E83DA6" w:rsidRDefault="00FA0952">
          <w:pPr>
            <w:pStyle w:val="TOC1"/>
            <w:tabs>
              <w:tab w:val="right" w:leader="dot" w:pos="9016"/>
            </w:tabs>
            <w:rPr>
              <w:rFonts w:eastAsiaTheme="minorEastAsia"/>
              <w:noProof/>
              <w:lang w:eastAsia="en-GB"/>
            </w:rPr>
          </w:pPr>
          <w:r>
            <w:fldChar w:fldCharType="begin"/>
          </w:r>
          <w:r>
            <w:instrText xml:space="preserve"> TOC \o "1-3" \h \z \u </w:instrText>
          </w:r>
          <w:r>
            <w:fldChar w:fldCharType="separate"/>
          </w:r>
        </w:p>
        <w:p w:rsidR="00E83DA6" w:rsidRDefault="00E83DA6">
          <w:pPr>
            <w:pStyle w:val="TOC1"/>
            <w:tabs>
              <w:tab w:val="right" w:leader="dot" w:pos="9016"/>
            </w:tabs>
            <w:rPr>
              <w:rFonts w:eastAsiaTheme="minorEastAsia"/>
              <w:noProof/>
              <w:lang w:eastAsia="en-GB"/>
            </w:rPr>
          </w:pPr>
          <w:hyperlink w:anchor="_Toc466207331" w:history="1">
            <w:r w:rsidRPr="009C2DBE">
              <w:rPr>
                <w:rStyle w:val="Hyperlink"/>
                <w:noProof/>
              </w:rPr>
              <w:t>Abbreviations</w:t>
            </w:r>
            <w:r>
              <w:rPr>
                <w:noProof/>
                <w:webHidden/>
              </w:rPr>
              <w:tab/>
            </w:r>
            <w:r>
              <w:rPr>
                <w:noProof/>
                <w:webHidden/>
              </w:rPr>
              <w:fldChar w:fldCharType="begin"/>
            </w:r>
            <w:r>
              <w:rPr>
                <w:noProof/>
                <w:webHidden/>
              </w:rPr>
              <w:instrText xml:space="preserve"> PAGEREF _Toc466207331 \h </w:instrText>
            </w:r>
            <w:r>
              <w:rPr>
                <w:noProof/>
                <w:webHidden/>
              </w:rPr>
            </w:r>
            <w:r>
              <w:rPr>
                <w:noProof/>
                <w:webHidden/>
              </w:rPr>
              <w:fldChar w:fldCharType="separate"/>
            </w:r>
            <w:r>
              <w:rPr>
                <w:noProof/>
                <w:webHidden/>
              </w:rPr>
              <w:t>5</w:t>
            </w:r>
            <w:r>
              <w:rPr>
                <w:noProof/>
                <w:webHidden/>
              </w:rPr>
              <w:fldChar w:fldCharType="end"/>
            </w:r>
          </w:hyperlink>
        </w:p>
        <w:p w:rsidR="00E83DA6" w:rsidRDefault="00E83DA6">
          <w:pPr>
            <w:pStyle w:val="TOC1"/>
            <w:tabs>
              <w:tab w:val="right" w:leader="dot" w:pos="9016"/>
            </w:tabs>
            <w:rPr>
              <w:rFonts w:eastAsiaTheme="minorEastAsia"/>
              <w:noProof/>
              <w:lang w:eastAsia="en-GB"/>
            </w:rPr>
          </w:pPr>
          <w:hyperlink w:anchor="_Toc466207332" w:history="1">
            <w:r w:rsidRPr="009C2DBE">
              <w:rPr>
                <w:rStyle w:val="Hyperlink"/>
                <w:noProof/>
              </w:rPr>
              <w:t>Summary</w:t>
            </w:r>
            <w:r>
              <w:rPr>
                <w:noProof/>
                <w:webHidden/>
              </w:rPr>
              <w:tab/>
            </w:r>
            <w:r>
              <w:rPr>
                <w:noProof/>
                <w:webHidden/>
              </w:rPr>
              <w:fldChar w:fldCharType="begin"/>
            </w:r>
            <w:r>
              <w:rPr>
                <w:noProof/>
                <w:webHidden/>
              </w:rPr>
              <w:instrText xml:space="preserve"> PAGEREF _Toc466207332 \h </w:instrText>
            </w:r>
            <w:r>
              <w:rPr>
                <w:noProof/>
                <w:webHidden/>
              </w:rPr>
            </w:r>
            <w:r>
              <w:rPr>
                <w:noProof/>
                <w:webHidden/>
              </w:rPr>
              <w:fldChar w:fldCharType="separate"/>
            </w:r>
            <w:r>
              <w:rPr>
                <w:noProof/>
                <w:webHidden/>
              </w:rPr>
              <w:t>6</w:t>
            </w:r>
            <w:r>
              <w:rPr>
                <w:noProof/>
                <w:webHidden/>
              </w:rPr>
              <w:fldChar w:fldCharType="end"/>
            </w:r>
          </w:hyperlink>
        </w:p>
        <w:p w:rsidR="00E83DA6" w:rsidRDefault="00E83DA6">
          <w:pPr>
            <w:pStyle w:val="TOC1"/>
            <w:tabs>
              <w:tab w:val="left" w:pos="440"/>
              <w:tab w:val="right" w:leader="dot" w:pos="9016"/>
            </w:tabs>
            <w:rPr>
              <w:rStyle w:val="Hyperlink"/>
              <w:noProof/>
            </w:rPr>
          </w:pPr>
        </w:p>
        <w:p w:rsidR="00E83DA6" w:rsidRDefault="00E83DA6">
          <w:pPr>
            <w:pStyle w:val="TOC1"/>
            <w:tabs>
              <w:tab w:val="left" w:pos="440"/>
              <w:tab w:val="right" w:leader="dot" w:pos="9016"/>
            </w:tabs>
            <w:rPr>
              <w:rFonts w:eastAsiaTheme="minorEastAsia"/>
              <w:noProof/>
              <w:lang w:eastAsia="en-GB"/>
            </w:rPr>
          </w:pPr>
          <w:hyperlink w:anchor="_Toc466207333" w:history="1">
            <w:r w:rsidRPr="009C2DBE">
              <w:rPr>
                <w:rStyle w:val="Hyperlink"/>
                <w:noProof/>
              </w:rPr>
              <w:t>1.</w:t>
            </w:r>
            <w:r>
              <w:rPr>
                <w:rFonts w:eastAsiaTheme="minorEastAsia"/>
                <w:noProof/>
                <w:lang w:eastAsia="en-GB"/>
              </w:rPr>
              <w:tab/>
            </w:r>
            <w:r w:rsidRPr="009C2DBE">
              <w:rPr>
                <w:rStyle w:val="Hyperlink"/>
                <w:noProof/>
              </w:rPr>
              <w:t>Background</w:t>
            </w:r>
            <w:r>
              <w:rPr>
                <w:noProof/>
                <w:webHidden/>
              </w:rPr>
              <w:tab/>
            </w:r>
            <w:r>
              <w:rPr>
                <w:noProof/>
                <w:webHidden/>
              </w:rPr>
              <w:fldChar w:fldCharType="begin"/>
            </w:r>
            <w:r>
              <w:rPr>
                <w:noProof/>
                <w:webHidden/>
              </w:rPr>
              <w:instrText xml:space="preserve"> PAGEREF _Toc466207333 \h </w:instrText>
            </w:r>
            <w:r>
              <w:rPr>
                <w:noProof/>
                <w:webHidden/>
              </w:rPr>
            </w:r>
            <w:r>
              <w:rPr>
                <w:noProof/>
                <w:webHidden/>
              </w:rPr>
              <w:fldChar w:fldCharType="separate"/>
            </w:r>
            <w:r>
              <w:rPr>
                <w:noProof/>
                <w:webHidden/>
              </w:rPr>
              <w:t>9</w:t>
            </w:r>
            <w:r>
              <w:rPr>
                <w:noProof/>
                <w:webHidden/>
              </w:rPr>
              <w:fldChar w:fldCharType="end"/>
            </w:r>
          </w:hyperlink>
        </w:p>
        <w:p w:rsidR="00E83DA6" w:rsidRDefault="00E83DA6">
          <w:pPr>
            <w:pStyle w:val="TOC1"/>
            <w:tabs>
              <w:tab w:val="left" w:pos="440"/>
              <w:tab w:val="right" w:leader="dot" w:pos="9016"/>
            </w:tabs>
            <w:rPr>
              <w:rFonts w:eastAsiaTheme="minorEastAsia"/>
              <w:noProof/>
              <w:lang w:eastAsia="en-GB"/>
            </w:rPr>
          </w:pPr>
          <w:hyperlink w:anchor="_Toc466207334" w:history="1">
            <w:r w:rsidRPr="009C2DBE">
              <w:rPr>
                <w:rStyle w:val="Hyperlink"/>
                <w:noProof/>
              </w:rPr>
              <w:t>2.</w:t>
            </w:r>
            <w:r>
              <w:rPr>
                <w:rFonts w:eastAsiaTheme="minorEastAsia"/>
                <w:noProof/>
                <w:lang w:eastAsia="en-GB"/>
              </w:rPr>
              <w:tab/>
            </w:r>
            <w:r w:rsidRPr="009C2DBE">
              <w:rPr>
                <w:rStyle w:val="Hyperlink"/>
                <w:noProof/>
              </w:rPr>
              <w:t>Country Ownership</w:t>
            </w:r>
            <w:r>
              <w:rPr>
                <w:noProof/>
                <w:webHidden/>
              </w:rPr>
              <w:tab/>
            </w:r>
            <w:r>
              <w:rPr>
                <w:noProof/>
                <w:webHidden/>
              </w:rPr>
              <w:fldChar w:fldCharType="begin"/>
            </w:r>
            <w:r>
              <w:rPr>
                <w:noProof/>
                <w:webHidden/>
              </w:rPr>
              <w:instrText xml:space="preserve"> PAGEREF _Toc466207334 \h </w:instrText>
            </w:r>
            <w:r>
              <w:rPr>
                <w:noProof/>
                <w:webHidden/>
              </w:rPr>
            </w:r>
            <w:r>
              <w:rPr>
                <w:noProof/>
                <w:webHidden/>
              </w:rPr>
              <w:fldChar w:fldCharType="separate"/>
            </w:r>
            <w:r>
              <w:rPr>
                <w:noProof/>
                <w:webHidden/>
              </w:rPr>
              <w:t>11</w:t>
            </w:r>
            <w:r>
              <w:rPr>
                <w:noProof/>
                <w:webHidden/>
              </w:rPr>
              <w:fldChar w:fldCharType="end"/>
            </w:r>
          </w:hyperlink>
        </w:p>
        <w:p w:rsidR="00E83DA6" w:rsidRDefault="00E83DA6">
          <w:pPr>
            <w:pStyle w:val="TOC1"/>
            <w:tabs>
              <w:tab w:val="left" w:pos="440"/>
              <w:tab w:val="right" w:leader="dot" w:pos="9016"/>
            </w:tabs>
            <w:rPr>
              <w:rFonts w:eastAsiaTheme="minorEastAsia"/>
              <w:noProof/>
              <w:lang w:eastAsia="en-GB"/>
            </w:rPr>
          </w:pPr>
          <w:hyperlink w:anchor="_Toc466207335" w:history="1">
            <w:r w:rsidRPr="009C2DBE">
              <w:rPr>
                <w:rStyle w:val="Hyperlink"/>
                <w:noProof/>
              </w:rPr>
              <w:t>3.</w:t>
            </w:r>
            <w:r>
              <w:rPr>
                <w:rFonts w:eastAsiaTheme="minorEastAsia"/>
                <w:noProof/>
                <w:lang w:eastAsia="en-GB"/>
              </w:rPr>
              <w:tab/>
            </w:r>
            <w:r w:rsidRPr="009C2DBE">
              <w:rPr>
                <w:rStyle w:val="Hyperlink"/>
                <w:noProof/>
              </w:rPr>
              <w:t>Snapshot of the Rail Sector in Bangladesh</w:t>
            </w:r>
            <w:r>
              <w:rPr>
                <w:noProof/>
                <w:webHidden/>
              </w:rPr>
              <w:tab/>
            </w:r>
            <w:r>
              <w:rPr>
                <w:noProof/>
                <w:webHidden/>
              </w:rPr>
              <w:fldChar w:fldCharType="begin"/>
            </w:r>
            <w:r>
              <w:rPr>
                <w:noProof/>
                <w:webHidden/>
              </w:rPr>
              <w:instrText xml:space="preserve"> PAGEREF _Toc466207335 \h </w:instrText>
            </w:r>
            <w:r>
              <w:rPr>
                <w:noProof/>
                <w:webHidden/>
              </w:rPr>
            </w:r>
            <w:r>
              <w:rPr>
                <w:noProof/>
                <w:webHidden/>
              </w:rPr>
              <w:fldChar w:fldCharType="separate"/>
            </w:r>
            <w:r>
              <w:rPr>
                <w:noProof/>
                <w:webHidden/>
              </w:rPr>
              <w:t>13</w:t>
            </w:r>
            <w:r>
              <w:rPr>
                <w:noProof/>
                <w:webHidden/>
              </w:rPr>
              <w:fldChar w:fldCharType="end"/>
            </w:r>
          </w:hyperlink>
        </w:p>
        <w:p w:rsidR="00E83DA6" w:rsidRDefault="00E83DA6">
          <w:pPr>
            <w:pStyle w:val="TOC1"/>
            <w:tabs>
              <w:tab w:val="left" w:pos="440"/>
              <w:tab w:val="right" w:leader="dot" w:pos="9016"/>
            </w:tabs>
            <w:rPr>
              <w:rFonts w:eastAsiaTheme="minorEastAsia"/>
              <w:noProof/>
              <w:lang w:eastAsia="en-GB"/>
            </w:rPr>
          </w:pPr>
          <w:hyperlink w:anchor="_Toc466207336" w:history="1">
            <w:r w:rsidRPr="009C2DBE">
              <w:rPr>
                <w:rStyle w:val="Hyperlink"/>
                <w:noProof/>
              </w:rPr>
              <w:t>4.</w:t>
            </w:r>
            <w:r>
              <w:rPr>
                <w:rFonts w:eastAsiaTheme="minorEastAsia"/>
                <w:noProof/>
                <w:lang w:eastAsia="en-GB"/>
              </w:rPr>
              <w:tab/>
            </w:r>
            <w:r w:rsidRPr="009C2DBE">
              <w:rPr>
                <w:rStyle w:val="Hyperlink"/>
                <w:noProof/>
              </w:rPr>
              <w:t>Objectives, Targets and Actions of the NAMA</w:t>
            </w:r>
            <w:r>
              <w:rPr>
                <w:noProof/>
                <w:webHidden/>
              </w:rPr>
              <w:tab/>
            </w:r>
            <w:r>
              <w:rPr>
                <w:noProof/>
                <w:webHidden/>
              </w:rPr>
              <w:fldChar w:fldCharType="begin"/>
            </w:r>
            <w:r>
              <w:rPr>
                <w:noProof/>
                <w:webHidden/>
              </w:rPr>
              <w:instrText xml:space="preserve"> PAGEREF _Toc466207336 \h </w:instrText>
            </w:r>
            <w:r>
              <w:rPr>
                <w:noProof/>
                <w:webHidden/>
              </w:rPr>
            </w:r>
            <w:r>
              <w:rPr>
                <w:noProof/>
                <w:webHidden/>
              </w:rPr>
              <w:fldChar w:fldCharType="separate"/>
            </w:r>
            <w:r>
              <w:rPr>
                <w:noProof/>
                <w:webHidden/>
              </w:rPr>
              <w:t>14</w:t>
            </w:r>
            <w:r>
              <w:rPr>
                <w:noProof/>
                <w:webHidden/>
              </w:rPr>
              <w:fldChar w:fldCharType="end"/>
            </w:r>
          </w:hyperlink>
        </w:p>
        <w:p w:rsidR="00E83DA6" w:rsidRDefault="00E83DA6">
          <w:pPr>
            <w:pStyle w:val="TOC1"/>
            <w:tabs>
              <w:tab w:val="left" w:pos="440"/>
              <w:tab w:val="right" w:leader="dot" w:pos="9016"/>
            </w:tabs>
            <w:rPr>
              <w:rFonts w:eastAsiaTheme="minorEastAsia"/>
              <w:noProof/>
              <w:lang w:eastAsia="en-GB"/>
            </w:rPr>
          </w:pPr>
          <w:hyperlink w:anchor="_Toc466207337" w:history="1">
            <w:r w:rsidRPr="009C2DBE">
              <w:rPr>
                <w:rStyle w:val="Hyperlink"/>
                <w:noProof/>
              </w:rPr>
              <w:t>5.</w:t>
            </w:r>
            <w:r>
              <w:rPr>
                <w:rFonts w:eastAsiaTheme="minorEastAsia"/>
                <w:noProof/>
                <w:lang w:eastAsia="en-GB"/>
              </w:rPr>
              <w:tab/>
            </w:r>
            <w:r w:rsidRPr="009C2DBE">
              <w:rPr>
                <w:rStyle w:val="Hyperlink"/>
                <w:noProof/>
              </w:rPr>
              <w:t>Transformational Change</w:t>
            </w:r>
            <w:r>
              <w:rPr>
                <w:noProof/>
                <w:webHidden/>
              </w:rPr>
              <w:tab/>
            </w:r>
            <w:r>
              <w:rPr>
                <w:noProof/>
                <w:webHidden/>
              </w:rPr>
              <w:fldChar w:fldCharType="begin"/>
            </w:r>
            <w:r>
              <w:rPr>
                <w:noProof/>
                <w:webHidden/>
              </w:rPr>
              <w:instrText xml:space="preserve"> PAGEREF _Toc466207337 \h </w:instrText>
            </w:r>
            <w:r>
              <w:rPr>
                <w:noProof/>
                <w:webHidden/>
              </w:rPr>
            </w:r>
            <w:r>
              <w:rPr>
                <w:noProof/>
                <w:webHidden/>
              </w:rPr>
              <w:fldChar w:fldCharType="separate"/>
            </w:r>
            <w:r>
              <w:rPr>
                <w:noProof/>
                <w:webHidden/>
              </w:rPr>
              <w:t>17</w:t>
            </w:r>
            <w:r>
              <w:rPr>
                <w:noProof/>
                <w:webHidden/>
              </w:rPr>
              <w:fldChar w:fldCharType="end"/>
            </w:r>
          </w:hyperlink>
        </w:p>
        <w:p w:rsidR="00E83DA6" w:rsidRDefault="00E83DA6">
          <w:pPr>
            <w:pStyle w:val="TOC1"/>
            <w:tabs>
              <w:tab w:val="left" w:pos="440"/>
              <w:tab w:val="right" w:leader="dot" w:pos="9016"/>
            </w:tabs>
            <w:rPr>
              <w:rFonts w:eastAsiaTheme="minorEastAsia"/>
              <w:noProof/>
              <w:lang w:eastAsia="en-GB"/>
            </w:rPr>
          </w:pPr>
          <w:hyperlink w:anchor="_Toc466207338" w:history="1">
            <w:r w:rsidRPr="009C2DBE">
              <w:rPr>
                <w:rStyle w:val="Hyperlink"/>
                <w:noProof/>
              </w:rPr>
              <w:t>6.</w:t>
            </w:r>
            <w:r>
              <w:rPr>
                <w:rFonts w:eastAsiaTheme="minorEastAsia"/>
                <w:noProof/>
                <w:lang w:eastAsia="en-GB"/>
              </w:rPr>
              <w:tab/>
            </w:r>
            <w:r w:rsidRPr="009C2DBE">
              <w:rPr>
                <w:rStyle w:val="Hyperlink"/>
                <w:noProof/>
              </w:rPr>
              <w:t>GHG Mitigation Impact</w:t>
            </w:r>
            <w:r>
              <w:rPr>
                <w:noProof/>
                <w:webHidden/>
              </w:rPr>
              <w:tab/>
            </w:r>
            <w:r>
              <w:rPr>
                <w:noProof/>
                <w:webHidden/>
              </w:rPr>
              <w:fldChar w:fldCharType="begin"/>
            </w:r>
            <w:r>
              <w:rPr>
                <w:noProof/>
                <w:webHidden/>
              </w:rPr>
              <w:instrText xml:space="preserve"> PAGEREF _Toc466207338 \h </w:instrText>
            </w:r>
            <w:r>
              <w:rPr>
                <w:noProof/>
                <w:webHidden/>
              </w:rPr>
            </w:r>
            <w:r>
              <w:rPr>
                <w:noProof/>
                <w:webHidden/>
              </w:rPr>
              <w:fldChar w:fldCharType="separate"/>
            </w:r>
            <w:r>
              <w:rPr>
                <w:noProof/>
                <w:webHidden/>
              </w:rPr>
              <w:t>19</w:t>
            </w:r>
            <w:r>
              <w:rPr>
                <w:noProof/>
                <w:webHidden/>
              </w:rPr>
              <w:fldChar w:fldCharType="end"/>
            </w:r>
          </w:hyperlink>
        </w:p>
        <w:p w:rsidR="00E83DA6" w:rsidRDefault="00E83DA6">
          <w:pPr>
            <w:pStyle w:val="TOC2"/>
            <w:tabs>
              <w:tab w:val="left" w:pos="880"/>
              <w:tab w:val="right" w:leader="dot" w:pos="9016"/>
            </w:tabs>
            <w:rPr>
              <w:rFonts w:eastAsiaTheme="minorEastAsia"/>
              <w:noProof/>
              <w:lang w:eastAsia="en-GB"/>
            </w:rPr>
          </w:pPr>
          <w:hyperlink w:anchor="_Toc466207339" w:history="1">
            <w:r w:rsidRPr="009C2DBE">
              <w:rPr>
                <w:rStyle w:val="Hyperlink"/>
                <w:noProof/>
              </w:rPr>
              <w:t>6.1.</w:t>
            </w:r>
            <w:r>
              <w:rPr>
                <w:rFonts w:eastAsiaTheme="minorEastAsia"/>
                <w:noProof/>
                <w:lang w:eastAsia="en-GB"/>
              </w:rPr>
              <w:tab/>
            </w:r>
            <w:r w:rsidRPr="009C2DBE">
              <w:rPr>
                <w:rStyle w:val="Hyperlink"/>
                <w:noProof/>
              </w:rPr>
              <w:t>Scope</w:t>
            </w:r>
            <w:r>
              <w:rPr>
                <w:noProof/>
                <w:webHidden/>
              </w:rPr>
              <w:tab/>
            </w:r>
            <w:r>
              <w:rPr>
                <w:noProof/>
                <w:webHidden/>
              </w:rPr>
              <w:fldChar w:fldCharType="begin"/>
            </w:r>
            <w:r>
              <w:rPr>
                <w:noProof/>
                <w:webHidden/>
              </w:rPr>
              <w:instrText xml:space="preserve"> PAGEREF _Toc466207339 \h </w:instrText>
            </w:r>
            <w:r>
              <w:rPr>
                <w:noProof/>
                <w:webHidden/>
              </w:rPr>
            </w:r>
            <w:r>
              <w:rPr>
                <w:noProof/>
                <w:webHidden/>
              </w:rPr>
              <w:fldChar w:fldCharType="separate"/>
            </w:r>
            <w:r>
              <w:rPr>
                <w:noProof/>
                <w:webHidden/>
              </w:rPr>
              <w:t>19</w:t>
            </w:r>
            <w:r>
              <w:rPr>
                <w:noProof/>
                <w:webHidden/>
              </w:rPr>
              <w:fldChar w:fldCharType="end"/>
            </w:r>
          </w:hyperlink>
        </w:p>
        <w:p w:rsidR="00E83DA6" w:rsidRDefault="00E83DA6">
          <w:pPr>
            <w:pStyle w:val="TOC2"/>
            <w:tabs>
              <w:tab w:val="left" w:pos="880"/>
              <w:tab w:val="right" w:leader="dot" w:pos="9016"/>
            </w:tabs>
            <w:rPr>
              <w:rFonts w:eastAsiaTheme="minorEastAsia"/>
              <w:noProof/>
              <w:lang w:eastAsia="en-GB"/>
            </w:rPr>
          </w:pPr>
          <w:hyperlink w:anchor="_Toc466207340" w:history="1">
            <w:r w:rsidRPr="009C2DBE">
              <w:rPr>
                <w:rStyle w:val="Hyperlink"/>
                <w:noProof/>
              </w:rPr>
              <w:t>6.2.</w:t>
            </w:r>
            <w:r>
              <w:rPr>
                <w:rFonts w:eastAsiaTheme="minorEastAsia"/>
                <w:noProof/>
                <w:lang w:eastAsia="en-GB"/>
              </w:rPr>
              <w:tab/>
            </w:r>
            <w:r w:rsidRPr="009C2DBE">
              <w:rPr>
                <w:rStyle w:val="Hyperlink"/>
                <w:noProof/>
              </w:rPr>
              <w:t>Boundaries and Gases Included</w:t>
            </w:r>
            <w:r>
              <w:rPr>
                <w:noProof/>
                <w:webHidden/>
              </w:rPr>
              <w:tab/>
            </w:r>
            <w:r>
              <w:rPr>
                <w:noProof/>
                <w:webHidden/>
              </w:rPr>
              <w:fldChar w:fldCharType="begin"/>
            </w:r>
            <w:r>
              <w:rPr>
                <w:noProof/>
                <w:webHidden/>
              </w:rPr>
              <w:instrText xml:space="preserve"> PAGEREF _Toc466207340 \h </w:instrText>
            </w:r>
            <w:r>
              <w:rPr>
                <w:noProof/>
                <w:webHidden/>
              </w:rPr>
            </w:r>
            <w:r>
              <w:rPr>
                <w:noProof/>
                <w:webHidden/>
              </w:rPr>
              <w:fldChar w:fldCharType="separate"/>
            </w:r>
            <w:r>
              <w:rPr>
                <w:noProof/>
                <w:webHidden/>
              </w:rPr>
              <w:t>19</w:t>
            </w:r>
            <w:r>
              <w:rPr>
                <w:noProof/>
                <w:webHidden/>
              </w:rPr>
              <w:fldChar w:fldCharType="end"/>
            </w:r>
          </w:hyperlink>
        </w:p>
        <w:p w:rsidR="00E83DA6" w:rsidRDefault="00E83DA6">
          <w:pPr>
            <w:pStyle w:val="TOC2"/>
            <w:tabs>
              <w:tab w:val="left" w:pos="880"/>
              <w:tab w:val="right" w:leader="dot" w:pos="9016"/>
            </w:tabs>
            <w:rPr>
              <w:rFonts w:eastAsiaTheme="minorEastAsia"/>
              <w:noProof/>
              <w:lang w:eastAsia="en-GB"/>
            </w:rPr>
          </w:pPr>
          <w:hyperlink w:anchor="_Toc466207341" w:history="1">
            <w:r w:rsidRPr="009C2DBE">
              <w:rPr>
                <w:rStyle w:val="Hyperlink"/>
                <w:noProof/>
              </w:rPr>
              <w:t>6.3.</w:t>
            </w:r>
            <w:r>
              <w:rPr>
                <w:rFonts w:eastAsiaTheme="minorEastAsia"/>
                <w:noProof/>
                <w:lang w:eastAsia="en-GB"/>
              </w:rPr>
              <w:tab/>
            </w:r>
            <w:r w:rsidRPr="009C2DBE">
              <w:rPr>
                <w:rStyle w:val="Hyperlink"/>
                <w:noProof/>
              </w:rPr>
              <w:t>Cause-Impact Relationship</w:t>
            </w:r>
            <w:r>
              <w:rPr>
                <w:noProof/>
                <w:webHidden/>
              </w:rPr>
              <w:tab/>
            </w:r>
            <w:r>
              <w:rPr>
                <w:noProof/>
                <w:webHidden/>
              </w:rPr>
              <w:fldChar w:fldCharType="begin"/>
            </w:r>
            <w:r>
              <w:rPr>
                <w:noProof/>
                <w:webHidden/>
              </w:rPr>
              <w:instrText xml:space="preserve"> PAGEREF _Toc466207341 \h </w:instrText>
            </w:r>
            <w:r>
              <w:rPr>
                <w:noProof/>
                <w:webHidden/>
              </w:rPr>
            </w:r>
            <w:r>
              <w:rPr>
                <w:noProof/>
                <w:webHidden/>
              </w:rPr>
              <w:fldChar w:fldCharType="separate"/>
            </w:r>
            <w:r>
              <w:rPr>
                <w:noProof/>
                <w:webHidden/>
              </w:rPr>
              <w:t>20</w:t>
            </w:r>
            <w:r>
              <w:rPr>
                <w:noProof/>
                <w:webHidden/>
              </w:rPr>
              <w:fldChar w:fldCharType="end"/>
            </w:r>
          </w:hyperlink>
        </w:p>
        <w:p w:rsidR="00E83DA6" w:rsidRDefault="00E83DA6">
          <w:pPr>
            <w:pStyle w:val="TOC2"/>
            <w:tabs>
              <w:tab w:val="left" w:pos="880"/>
              <w:tab w:val="right" w:leader="dot" w:pos="9016"/>
            </w:tabs>
            <w:rPr>
              <w:rFonts w:eastAsiaTheme="minorEastAsia"/>
              <w:noProof/>
              <w:lang w:eastAsia="en-GB"/>
            </w:rPr>
          </w:pPr>
          <w:hyperlink w:anchor="_Toc466207342" w:history="1">
            <w:r w:rsidRPr="009C2DBE">
              <w:rPr>
                <w:rStyle w:val="Hyperlink"/>
                <w:noProof/>
              </w:rPr>
              <w:t>6.4.</w:t>
            </w:r>
            <w:r>
              <w:rPr>
                <w:rFonts w:eastAsiaTheme="minorEastAsia"/>
                <w:noProof/>
                <w:lang w:eastAsia="en-GB"/>
              </w:rPr>
              <w:tab/>
            </w:r>
            <w:r w:rsidRPr="009C2DBE">
              <w:rPr>
                <w:rStyle w:val="Hyperlink"/>
                <w:noProof/>
              </w:rPr>
              <w:t>Methodological Approach</w:t>
            </w:r>
            <w:r>
              <w:rPr>
                <w:noProof/>
                <w:webHidden/>
              </w:rPr>
              <w:tab/>
            </w:r>
            <w:r>
              <w:rPr>
                <w:noProof/>
                <w:webHidden/>
              </w:rPr>
              <w:fldChar w:fldCharType="begin"/>
            </w:r>
            <w:r>
              <w:rPr>
                <w:noProof/>
                <w:webHidden/>
              </w:rPr>
              <w:instrText xml:space="preserve"> PAGEREF _Toc466207342 \h </w:instrText>
            </w:r>
            <w:r>
              <w:rPr>
                <w:noProof/>
                <w:webHidden/>
              </w:rPr>
            </w:r>
            <w:r>
              <w:rPr>
                <w:noProof/>
                <w:webHidden/>
              </w:rPr>
              <w:fldChar w:fldCharType="separate"/>
            </w:r>
            <w:r>
              <w:rPr>
                <w:noProof/>
                <w:webHidden/>
              </w:rPr>
              <w:t>21</w:t>
            </w:r>
            <w:r>
              <w:rPr>
                <w:noProof/>
                <w:webHidden/>
              </w:rPr>
              <w:fldChar w:fldCharType="end"/>
            </w:r>
          </w:hyperlink>
        </w:p>
        <w:p w:rsidR="00E83DA6" w:rsidRDefault="00E83DA6">
          <w:pPr>
            <w:pStyle w:val="TOC2"/>
            <w:tabs>
              <w:tab w:val="left" w:pos="880"/>
              <w:tab w:val="right" w:leader="dot" w:pos="9016"/>
            </w:tabs>
            <w:rPr>
              <w:rFonts w:eastAsiaTheme="minorEastAsia"/>
              <w:noProof/>
              <w:lang w:eastAsia="en-GB"/>
            </w:rPr>
          </w:pPr>
          <w:hyperlink w:anchor="_Toc466207343" w:history="1">
            <w:r w:rsidRPr="009C2DBE">
              <w:rPr>
                <w:rStyle w:val="Hyperlink"/>
                <w:noProof/>
              </w:rPr>
              <w:t>6.5.</w:t>
            </w:r>
            <w:r>
              <w:rPr>
                <w:rFonts w:eastAsiaTheme="minorEastAsia"/>
                <w:noProof/>
                <w:lang w:eastAsia="en-GB"/>
              </w:rPr>
              <w:tab/>
            </w:r>
            <w:r w:rsidRPr="009C2DBE">
              <w:rPr>
                <w:rStyle w:val="Hyperlink"/>
                <w:noProof/>
              </w:rPr>
              <w:t>Parameters and Values Used</w:t>
            </w:r>
            <w:r>
              <w:rPr>
                <w:noProof/>
                <w:webHidden/>
              </w:rPr>
              <w:tab/>
            </w:r>
            <w:r>
              <w:rPr>
                <w:noProof/>
                <w:webHidden/>
              </w:rPr>
              <w:fldChar w:fldCharType="begin"/>
            </w:r>
            <w:r>
              <w:rPr>
                <w:noProof/>
                <w:webHidden/>
              </w:rPr>
              <w:instrText xml:space="preserve"> PAGEREF _Toc466207343 \h </w:instrText>
            </w:r>
            <w:r>
              <w:rPr>
                <w:noProof/>
                <w:webHidden/>
              </w:rPr>
            </w:r>
            <w:r>
              <w:rPr>
                <w:noProof/>
                <w:webHidden/>
              </w:rPr>
              <w:fldChar w:fldCharType="separate"/>
            </w:r>
            <w:r>
              <w:rPr>
                <w:noProof/>
                <w:webHidden/>
              </w:rPr>
              <w:t>23</w:t>
            </w:r>
            <w:r>
              <w:rPr>
                <w:noProof/>
                <w:webHidden/>
              </w:rPr>
              <w:fldChar w:fldCharType="end"/>
            </w:r>
          </w:hyperlink>
        </w:p>
        <w:p w:rsidR="00E83DA6" w:rsidRDefault="00E83DA6">
          <w:pPr>
            <w:pStyle w:val="TOC2"/>
            <w:tabs>
              <w:tab w:val="left" w:pos="880"/>
              <w:tab w:val="right" w:leader="dot" w:pos="9016"/>
            </w:tabs>
            <w:rPr>
              <w:rFonts w:eastAsiaTheme="minorEastAsia"/>
              <w:noProof/>
              <w:lang w:eastAsia="en-GB"/>
            </w:rPr>
          </w:pPr>
          <w:hyperlink w:anchor="_Toc466207344" w:history="1">
            <w:r w:rsidRPr="009C2DBE">
              <w:rPr>
                <w:rStyle w:val="Hyperlink"/>
                <w:noProof/>
              </w:rPr>
              <w:t>6.6.</w:t>
            </w:r>
            <w:r>
              <w:rPr>
                <w:rFonts w:eastAsiaTheme="minorEastAsia"/>
                <w:noProof/>
                <w:lang w:eastAsia="en-GB"/>
              </w:rPr>
              <w:tab/>
            </w:r>
            <w:r w:rsidRPr="009C2DBE">
              <w:rPr>
                <w:rStyle w:val="Hyperlink"/>
                <w:noProof/>
              </w:rPr>
              <w:t>GHG Mitigation Impact</w:t>
            </w:r>
            <w:r>
              <w:rPr>
                <w:noProof/>
                <w:webHidden/>
              </w:rPr>
              <w:tab/>
            </w:r>
            <w:r>
              <w:rPr>
                <w:noProof/>
                <w:webHidden/>
              </w:rPr>
              <w:fldChar w:fldCharType="begin"/>
            </w:r>
            <w:r>
              <w:rPr>
                <w:noProof/>
                <w:webHidden/>
              </w:rPr>
              <w:instrText xml:space="preserve"> PAGEREF _Toc466207344 \h </w:instrText>
            </w:r>
            <w:r>
              <w:rPr>
                <w:noProof/>
                <w:webHidden/>
              </w:rPr>
            </w:r>
            <w:r>
              <w:rPr>
                <w:noProof/>
                <w:webHidden/>
              </w:rPr>
              <w:fldChar w:fldCharType="separate"/>
            </w:r>
            <w:r>
              <w:rPr>
                <w:noProof/>
                <w:webHidden/>
              </w:rPr>
              <w:t>25</w:t>
            </w:r>
            <w:r>
              <w:rPr>
                <w:noProof/>
                <w:webHidden/>
              </w:rPr>
              <w:fldChar w:fldCharType="end"/>
            </w:r>
          </w:hyperlink>
        </w:p>
        <w:p w:rsidR="00E83DA6" w:rsidRDefault="00E83DA6">
          <w:pPr>
            <w:pStyle w:val="TOC2"/>
            <w:tabs>
              <w:tab w:val="left" w:pos="880"/>
              <w:tab w:val="right" w:leader="dot" w:pos="9016"/>
            </w:tabs>
            <w:rPr>
              <w:rFonts w:eastAsiaTheme="minorEastAsia"/>
              <w:noProof/>
              <w:lang w:eastAsia="en-GB"/>
            </w:rPr>
          </w:pPr>
          <w:hyperlink w:anchor="_Toc466207345" w:history="1">
            <w:r w:rsidRPr="009C2DBE">
              <w:rPr>
                <w:rStyle w:val="Hyperlink"/>
                <w:noProof/>
              </w:rPr>
              <w:t>6.7.</w:t>
            </w:r>
            <w:r>
              <w:rPr>
                <w:rFonts w:eastAsiaTheme="minorEastAsia"/>
                <w:noProof/>
                <w:lang w:eastAsia="en-GB"/>
              </w:rPr>
              <w:tab/>
            </w:r>
            <w:r w:rsidRPr="009C2DBE">
              <w:rPr>
                <w:rStyle w:val="Hyperlink"/>
                <w:noProof/>
              </w:rPr>
              <w:t>Indirect Effects</w:t>
            </w:r>
            <w:r>
              <w:rPr>
                <w:noProof/>
                <w:webHidden/>
              </w:rPr>
              <w:tab/>
            </w:r>
            <w:r>
              <w:rPr>
                <w:noProof/>
                <w:webHidden/>
              </w:rPr>
              <w:fldChar w:fldCharType="begin"/>
            </w:r>
            <w:r>
              <w:rPr>
                <w:noProof/>
                <w:webHidden/>
              </w:rPr>
              <w:instrText xml:space="preserve"> PAGEREF _Toc466207345 \h </w:instrText>
            </w:r>
            <w:r>
              <w:rPr>
                <w:noProof/>
                <w:webHidden/>
              </w:rPr>
            </w:r>
            <w:r>
              <w:rPr>
                <w:noProof/>
                <w:webHidden/>
              </w:rPr>
              <w:fldChar w:fldCharType="separate"/>
            </w:r>
            <w:r>
              <w:rPr>
                <w:noProof/>
                <w:webHidden/>
              </w:rPr>
              <w:t>26</w:t>
            </w:r>
            <w:r>
              <w:rPr>
                <w:noProof/>
                <w:webHidden/>
              </w:rPr>
              <w:fldChar w:fldCharType="end"/>
            </w:r>
          </w:hyperlink>
        </w:p>
        <w:p w:rsidR="00E83DA6" w:rsidRDefault="00E83DA6">
          <w:pPr>
            <w:pStyle w:val="TOC3"/>
            <w:tabs>
              <w:tab w:val="left" w:pos="1320"/>
              <w:tab w:val="right" w:leader="dot" w:pos="9016"/>
            </w:tabs>
            <w:rPr>
              <w:rFonts w:eastAsiaTheme="minorEastAsia"/>
              <w:noProof/>
              <w:lang w:eastAsia="en-GB"/>
            </w:rPr>
          </w:pPr>
          <w:hyperlink w:anchor="_Toc466207346" w:history="1">
            <w:r w:rsidRPr="009C2DBE">
              <w:rPr>
                <w:rStyle w:val="Hyperlink"/>
                <w:noProof/>
              </w:rPr>
              <w:t>6.7.1.</w:t>
            </w:r>
            <w:r>
              <w:rPr>
                <w:rFonts w:eastAsiaTheme="minorEastAsia"/>
                <w:noProof/>
                <w:lang w:eastAsia="en-GB"/>
              </w:rPr>
              <w:tab/>
            </w:r>
            <w:r w:rsidRPr="009C2DBE">
              <w:rPr>
                <w:rStyle w:val="Hyperlink"/>
                <w:noProof/>
              </w:rPr>
              <w:t>Sources</w:t>
            </w:r>
            <w:r>
              <w:rPr>
                <w:noProof/>
                <w:webHidden/>
              </w:rPr>
              <w:tab/>
            </w:r>
            <w:r>
              <w:rPr>
                <w:noProof/>
                <w:webHidden/>
              </w:rPr>
              <w:fldChar w:fldCharType="begin"/>
            </w:r>
            <w:r>
              <w:rPr>
                <w:noProof/>
                <w:webHidden/>
              </w:rPr>
              <w:instrText xml:space="preserve"> PAGEREF _Toc466207346 \h </w:instrText>
            </w:r>
            <w:r>
              <w:rPr>
                <w:noProof/>
                <w:webHidden/>
              </w:rPr>
            </w:r>
            <w:r>
              <w:rPr>
                <w:noProof/>
                <w:webHidden/>
              </w:rPr>
              <w:fldChar w:fldCharType="separate"/>
            </w:r>
            <w:r>
              <w:rPr>
                <w:noProof/>
                <w:webHidden/>
              </w:rPr>
              <w:t>26</w:t>
            </w:r>
            <w:r>
              <w:rPr>
                <w:noProof/>
                <w:webHidden/>
              </w:rPr>
              <w:fldChar w:fldCharType="end"/>
            </w:r>
          </w:hyperlink>
        </w:p>
        <w:p w:rsidR="00E83DA6" w:rsidRDefault="00E83DA6">
          <w:pPr>
            <w:pStyle w:val="TOC3"/>
            <w:tabs>
              <w:tab w:val="left" w:pos="1320"/>
              <w:tab w:val="right" w:leader="dot" w:pos="9016"/>
            </w:tabs>
            <w:rPr>
              <w:rFonts w:eastAsiaTheme="minorEastAsia"/>
              <w:noProof/>
              <w:lang w:eastAsia="en-GB"/>
            </w:rPr>
          </w:pPr>
          <w:hyperlink w:anchor="_Toc466207347" w:history="1">
            <w:r w:rsidRPr="009C2DBE">
              <w:rPr>
                <w:rStyle w:val="Hyperlink"/>
                <w:noProof/>
              </w:rPr>
              <w:t>6.7.2.</w:t>
            </w:r>
            <w:r>
              <w:rPr>
                <w:rFonts w:eastAsiaTheme="minorEastAsia"/>
                <w:noProof/>
                <w:lang w:eastAsia="en-GB"/>
              </w:rPr>
              <w:tab/>
            </w:r>
            <w:r w:rsidRPr="009C2DBE">
              <w:rPr>
                <w:rStyle w:val="Hyperlink"/>
                <w:noProof/>
              </w:rPr>
              <w:t>Road/Rail Construction Related Emissions</w:t>
            </w:r>
            <w:r>
              <w:rPr>
                <w:noProof/>
                <w:webHidden/>
              </w:rPr>
              <w:tab/>
            </w:r>
            <w:r>
              <w:rPr>
                <w:noProof/>
                <w:webHidden/>
              </w:rPr>
              <w:fldChar w:fldCharType="begin"/>
            </w:r>
            <w:r>
              <w:rPr>
                <w:noProof/>
                <w:webHidden/>
              </w:rPr>
              <w:instrText xml:space="preserve"> PAGEREF _Toc466207347 \h </w:instrText>
            </w:r>
            <w:r>
              <w:rPr>
                <w:noProof/>
                <w:webHidden/>
              </w:rPr>
            </w:r>
            <w:r>
              <w:rPr>
                <w:noProof/>
                <w:webHidden/>
              </w:rPr>
              <w:fldChar w:fldCharType="separate"/>
            </w:r>
            <w:r>
              <w:rPr>
                <w:noProof/>
                <w:webHidden/>
              </w:rPr>
              <w:t>27</w:t>
            </w:r>
            <w:r>
              <w:rPr>
                <w:noProof/>
                <w:webHidden/>
              </w:rPr>
              <w:fldChar w:fldCharType="end"/>
            </w:r>
          </w:hyperlink>
        </w:p>
        <w:p w:rsidR="00E83DA6" w:rsidRDefault="00E83DA6">
          <w:pPr>
            <w:pStyle w:val="TOC3"/>
            <w:tabs>
              <w:tab w:val="left" w:pos="1320"/>
              <w:tab w:val="right" w:leader="dot" w:pos="9016"/>
            </w:tabs>
            <w:rPr>
              <w:rFonts w:eastAsiaTheme="minorEastAsia"/>
              <w:noProof/>
              <w:lang w:eastAsia="en-GB"/>
            </w:rPr>
          </w:pPr>
          <w:hyperlink w:anchor="_Toc466207348" w:history="1">
            <w:r w:rsidRPr="009C2DBE">
              <w:rPr>
                <w:rStyle w:val="Hyperlink"/>
                <w:noProof/>
              </w:rPr>
              <w:t>6.7.3.</w:t>
            </w:r>
            <w:r>
              <w:rPr>
                <w:rFonts w:eastAsiaTheme="minorEastAsia"/>
                <w:noProof/>
                <w:lang w:eastAsia="en-GB"/>
              </w:rPr>
              <w:tab/>
            </w:r>
            <w:r w:rsidRPr="009C2DBE">
              <w:rPr>
                <w:rStyle w:val="Hyperlink"/>
                <w:noProof/>
              </w:rPr>
              <w:t>Vehicle Manufacturing Emissions</w:t>
            </w:r>
            <w:r>
              <w:rPr>
                <w:noProof/>
                <w:webHidden/>
              </w:rPr>
              <w:tab/>
            </w:r>
            <w:r>
              <w:rPr>
                <w:noProof/>
                <w:webHidden/>
              </w:rPr>
              <w:fldChar w:fldCharType="begin"/>
            </w:r>
            <w:r>
              <w:rPr>
                <w:noProof/>
                <w:webHidden/>
              </w:rPr>
              <w:instrText xml:space="preserve"> PAGEREF _Toc466207348 \h </w:instrText>
            </w:r>
            <w:r>
              <w:rPr>
                <w:noProof/>
                <w:webHidden/>
              </w:rPr>
            </w:r>
            <w:r>
              <w:rPr>
                <w:noProof/>
                <w:webHidden/>
              </w:rPr>
              <w:fldChar w:fldCharType="separate"/>
            </w:r>
            <w:r>
              <w:rPr>
                <w:noProof/>
                <w:webHidden/>
              </w:rPr>
              <w:t>27</w:t>
            </w:r>
            <w:r>
              <w:rPr>
                <w:noProof/>
                <w:webHidden/>
              </w:rPr>
              <w:fldChar w:fldCharType="end"/>
            </w:r>
          </w:hyperlink>
        </w:p>
        <w:p w:rsidR="00E83DA6" w:rsidRDefault="00E83DA6">
          <w:pPr>
            <w:pStyle w:val="TOC3"/>
            <w:tabs>
              <w:tab w:val="right" w:leader="dot" w:pos="9016"/>
            </w:tabs>
            <w:rPr>
              <w:rFonts w:eastAsiaTheme="minorEastAsia"/>
              <w:noProof/>
              <w:lang w:eastAsia="en-GB"/>
            </w:rPr>
          </w:pPr>
          <w:hyperlink w:anchor="_Toc466207349" w:history="1">
            <w:r w:rsidRPr="009C2DBE">
              <w:rPr>
                <w:rStyle w:val="Hyperlink"/>
                <w:noProof/>
              </w:rPr>
              <w:t xml:space="preserve">6.7.4. </w:t>
            </w:r>
            <w:r>
              <w:rPr>
                <w:rStyle w:val="Hyperlink"/>
                <w:noProof/>
              </w:rPr>
              <w:t xml:space="preserve">       </w:t>
            </w:r>
            <w:r w:rsidRPr="009C2DBE">
              <w:rPr>
                <w:rStyle w:val="Hyperlink"/>
                <w:noProof/>
              </w:rPr>
              <w:t>Congestion Change Impact</w:t>
            </w:r>
            <w:r>
              <w:rPr>
                <w:noProof/>
                <w:webHidden/>
              </w:rPr>
              <w:tab/>
            </w:r>
            <w:r>
              <w:rPr>
                <w:noProof/>
                <w:webHidden/>
              </w:rPr>
              <w:fldChar w:fldCharType="begin"/>
            </w:r>
            <w:r>
              <w:rPr>
                <w:noProof/>
                <w:webHidden/>
              </w:rPr>
              <w:instrText xml:space="preserve"> PAGEREF _Toc466207349 \h </w:instrText>
            </w:r>
            <w:r>
              <w:rPr>
                <w:noProof/>
                <w:webHidden/>
              </w:rPr>
            </w:r>
            <w:r>
              <w:rPr>
                <w:noProof/>
                <w:webHidden/>
              </w:rPr>
              <w:fldChar w:fldCharType="separate"/>
            </w:r>
            <w:r>
              <w:rPr>
                <w:noProof/>
                <w:webHidden/>
              </w:rPr>
              <w:t>28</w:t>
            </w:r>
            <w:r>
              <w:rPr>
                <w:noProof/>
                <w:webHidden/>
              </w:rPr>
              <w:fldChar w:fldCharType="end"/>
            </w:r>
          </w:hyperlink>
        </w:p>
        <w:p w:rsidR="00E83DA6" w:rsidRDefault="00E83DA6">
          <w:pPr>
            <w:pStyle w:val="TOC3"/>
            <w:tabs>
              <w:tab w:val="right" w:leader="dot" w:pos="9016"/>
            </w:tabs>
            <w:rPr>
              <w:rFonts w:eastAsiaTheme="minorEastAsia"/>
              <w:noProof/>
              <w:lang w:eastAsia="en-GB"/>
            </w:rPr>
          </w:pPr>
          <w:hyperlink w:anchor="_Toc466207350" w:history="1">
            <w:r w:rsidRPr="009C2DBE">
              <w:rPr>
                <w:rStyle w:val="Hyperlink"/>
                <w:noProof/>
              </w:rPr>
              <w:t xml:space="preserve">6.7.5. </w:t>
            </w:r>
            <w:r>
              <w:rPr>
                <w:rStyle w:val="Hyperlink"/>
                <w:noProof/>
              </w:rPr>
              <w:t xml:space="preserve">       </w:t>
            </w:r>
            <w:r w:rsidRPr="009C2DBE">
              <w:rPr>
                <w:rStyle w:val="Hyperlink"/>
                <w:noProof/>
              </w:rPr>
              <w:t>Summary Indirect Emissions</w:t>
            </w:r>
            <w:r>
              <w:rPr>
                <w:noProof/>
                <w:webHidden/>
              </w:rPr>
              <w:tab/>
            </w:r>
            <w:r>
              <w:rPr>
                <w:noProof/>
                <w:webHidden/>
              </w:rPr>
              <w:fldChar w:fldCharType="begin"/>
            </w:r>
            <w:r>
              <w:rPr>
                <w:noProof/>
                <w:webHidden/>
              </w:rPr>
              <w:instrText xml:space="preserve"> PAGEREF _Toc466207350 \h </w:instrText>
            </w:r>
            <w:r>
              <w:rPr>
                <w:noProof/>
                <w:webHidden/>
              </w:rPr>
            </w:r>
            <w:r>
              <w:rPr>
                <w:noProof/>
                <w:webHidden/>
              </w:rPr>
              <w:fldChar w:fldCharType="separate"/>
            </w:r>
            <w:r>
              <w:rPr>
                <w:noProof/>
                <w:webHidden/>
              </w:rPr>
              <w:t>29</w:t>
            </w:r>
            <w:r>
              <w:rPr>
                <w:noProof/>
                <w:webHidden/>
              </w:rPr>
              <w:fldChar w:fldCharType="end"/>
            </w:r>
          </w:hyperlink>
        </w:p>
        <w:p w:rsidR="00E83DA6" w:rsidRDefault="00E83DA6">
          <w:pPr>
            <w:pStyle w:val="TOC1"/>
            <w:tabs>
              <w:tab w:val="right" w:leader="dot" w:pos="9016"/>
            </w:tabs>
            <w:rPr>
              <w:rFonts w:eastAsiaTheme="minorEastAsia"/>
              <w:noProof/>
              <w:lang w:eastAsia="en-GB"/>
            </w:rPr>
          </w:pPr>
          <w:hyperlink w:anchor="_Toc466207351" w:history="1">
            <w:r w:rsidRPr="009C2DBE">
              <w:rPr>
                <w:rStyle w:val="Hyperlink"/>
                <w:noProof/>
              </w:rPr>
              <w:t>7. Sustainable Development Impact</w:t>
            </w:r>
            <w:r>
              <w:rPr>
                <w:noProof/>
                <w:webHidden/>
              </w:rPr>
              <w:tab/>
            </w:r>
            <w:r>
              <w:rPr>
                <w:noProof/>
                <w:webHidden/>
              </w:rPr>
              <w:fldChar w:fldCharType="begin"/>
            </w:r>
            <w:r>
              <w:rPr>
                <w:noProof/>
                <w:webHidden/>
              </w:rPr>
              <w:instrText xml:space="preserve"> PAGEREF _Toc466207351 \h </w:instrText>
            </w:r>
            <w:r>
              <w:rPr>
                <w:noProof/>
                <w:webHidden/>
              </w:rPr>
            </w:r>
            <w:r>
              <w:rPr>
                <w:noProof/>
                <w:webHidden/>
              </w:rPr>
              <w:fldChar w:fldCharType="separate"/>
            </w:r>
            <w:r>
              <w:rPr>
                <w:noProof/>
                <w:webHidden/>
              </w:rPr>
              <w:t>30</w:t>
            </w:r>
            <w:r>
              <w:rPr>
                <w:noProof/>
                <w:webHidden/>
              </w:rPr>
              <w:fldChar w:fldCharType="end"/>
            </w:r>
          </w:hyperlink>
        </w:p>
        <w:p w:rsidR="00E83DA6" w:rsidRDefault="00E83DA6">
          <w:pPr>
            <w:pStyle w:val="TOC2"/>
            <w:tabs>
              <w:tab w:val="right" w:leader="dot" w:pos="9016"/>
            </w:tabs>
            <w:rPr>
              <w:rFonts w:eastAsiaTheme="minorEastAsia"/>
              <w:noProof/>
              <w:lang w:eastAsia="en-GB"/>
            </w:rPr>
          </w:pPr>
          <w:hyperlink w:anchor="_Toc466207352" w:history="1">
            <w:r w:rsidRPr="009C2DBE">
              <w:rPr>
                <w:rStyle w:val="Hyperlink"/>
                <w:noProof/>
              </w:rPr>
              <w:t>7.1. Overview</w:t>
            </w:r>
            <w:r>
              <w:rPr>
                <w:noProof/>
                <w:webHidden/>
              </w:rPr>
              <w:tab/>
            </w:r>
            <w:r>
              <w:rPr>
                <w:noProof/>
                <w:webHidden/>
              </w:rPr>
              <w:fldChar w:fldCharType="begin"/>
            </w:r>
            <w:r>
              <w:rPr>
                <w:noProof/>
                <w:webHidden/>
              </w:rPr>
              <w:instrText xml:space="preserve"> PAGEREF _Toc466207352 \h </w:instrText>
            </w:r>
            <w:r>
              <w:rPr>
                <w:noProof/>
                <w:webHidden/>
              </w:rPr>
            </w:r>
            <w:r>
              <w:rPr>
                <w:noProof/>
                <w:webHidden/>
              </w:rPr>
              <w:fldChar w:fldCharType="separate"/>
            </w:r>
            <w:r>
              <w:rPr>
                <w:noProof/>
                <w:webHidden/>
              </w:rPr>
              <w:t>30</w:t>
            </w:r>
            <w:r>
              <w:rPr>
                <w:noProof/>
                <w:webHidden/>
              </w:rPr>
              <w:fldChar w:fldCharType="end"/>
            </w:r>
          </w:hyperlink>
        </w:p>
        <w:p w:rsidR="00E83DA6" w:rsidRDefault="00E83DA6">
          <w:pPr>
            <w:pStyle w:val="TOC2"/>
            <w:tabs>
              <w:tab w:val="right" w:leader="dot" w:pos="9016"/>
            </w:tabs>
            <w:rPr>
              <w:rFonts w:eastAsiaTheme="minorEastAsia"/>
              <w:noProof/>
              <w:lang w:eastAsia="en-GB"/>
            </w:rPr>
          </w:pPr>
          <w:hyperlink w:anchor="_Toc466207353" w:history="1">
            <w:r w:rsidRPr="009C2DBE">
              <w:rPr>
                <w:rStyle w:val="Hyperlink"/>
                <w:noProof/>
              </w:rPr>
              <w:t>7.2. Economic Impacts</w:t>
            </w:r>
            <w:r>
              <w:rPr>
                <w:noProof/>
                <w:webHidden/>
              </w:rPr>
              <w:tab/>
            </w:r>
            <w:r>
              <w:rPr>
                <w:noProof/>
                <w:webHidden/>
              </w:rPr>
              <w:fldChar w:fldCharType="begin"/>
            </w:r>
            <w:r>
              <w:rPr>
                <w:noProof/>
                <w:webHidden/>
              </w:rPr>
              <w:instrText xml:space="preserve"> PAGEREF _Toc466207353 \h </w:instrText>
            </w:r>
            <w:r>
              <w:rPr>
                <w:noProof/>
                <w:webHidden/>
              </w:rPr>
            </w:r>
            <w:r>
              <w:rPr>
                <w:noProof/>
                <w:webHidden/>
              </w:rPr>
              <w:fldChar w:fldCharType="separate"/>
            </w:r>
            <w:r>
              <w:rPr>
                <w:noProof/>
                <w:webHidden/>
              </w:rPr>
              <w:t>31</w:t>
            </w:r>
            <w:r>
              <w:rPr>
                <w:noProof/>
                <w:webHidden/>
              </w:rPr>
              <w:fldChar w:fldCharType="end"/>
            </w:r>
          </w:hyperlink>
        </w:p>
        <w:p w:rsidR="00E83DA6" w:rsidRDefault="00E83DA6">
          <w:pPr>
            <w:pStyle w:val="TOC2"/>
            <w:tabs>
              <w:tab w:val="right" w:leader="dot" w:pos="9016"/>
            </w:tabs>
            <w:rPr>
              <w:rFonts w:eastAsiaTheme="minorEastAsia"/>
              <w:noProof/>
              <w:lang w:eastAsia="en-GB"/>
            </w:rPr>
          </w:pPr>
          <w:hyperlink w:anchor="_Toc466207354" w:history="1">
            <w:r w:rsidRPr="009C2DBE">
              <w:rPr>
                <w:rStyle w:val="Hyperlink"/>
                <w:noProof/>
              </w:rPr>
              <w:t>7.3. Social Impacts</w:t>
            </w:r>
            <w:r>
              <w:rPr>
                <w:noProof/>
                <w:webHidden/>
              </w:rPr>
              <w:tab/>
            </w:r>
            <w:r>
              <w:rPr>
                <w:noProof/>
                <w:webHidden/>
              </w:rPr>
              <w:fldChar w:fldCharType="begin"/>
            </w:r>
            <w:r>
              <w:rPr>
                <w:noProof/>
                <w:webHidden/>
              </w:rPr>
              <w:instrText xml:space="preserve"> PAGEREF _Toc466207354 \h </w:instrText>
            </w:r>
            <w:r>
              <w:rPr>
                <w:noProof/>
                <w:webHidden/>
              </w:rPr>
            </w:r>
            <w:r>
              <w:rPr>
                <w:noProof/>
                <w:webHidden/>
              </w:rPr>
              <w:fldChar w:fldCharType="separate"/>
            </w:r>
            <w:r>
              <w:rPr>
                <w:noProof/>
                <w:webHidden/>
              </w:rPr>
              <w:t>31</w:t>
            </w:r>
            <w:r>
              <w:rPr>
                <w:noProof/>
                <w:webHidden/>
              </w:rPr>
              <w:fldChar w:fldCharType="end"/>
            </w:r>
          </w:hyperlink>
        </w:p>
        <w:p w:rsidR="00E83DA6" w:rsidRDefault="00E83DA6">
          <w:pPr>
            <w:pStyle w:val="TOC2"/>
            <w:tabs>
              <w:tab w:val="right" w:leader="dot" w:pos="9016"/>
            </w:tabs>
            <w:rPr>
              <w:rFonts w:eastAsiaTheme="minorEastAsia"/>
              <w:noProof/>
              <w:lang w:eastAsia="en-GB"/>
            </w:rPr>
          </w:pPr>
          <w:hyperlink w:anchor="_Toc466207355" w:history="1">
            <w:r w:rsidRPr="009C2DBE">
              <w:rPr>
                <w:rStyle w:val="Hyperlink"/>
                <w:noProof/>
              </w:rPr>
              <w:t>7.4. Environmental Impacts</w:t>
            </w:r>
            <w:r>
              <w:rPr>
                <w:noProof/>
                <w:webHidden/>
              </w:rPr>
              <w:tab/>
            </w:r>
            <w:r>
              <w:rPr>
                <w:noProof/>
                <w:webHidden/>
              </w:rPr>
              <w:fldChar w:fldCharType="begin"/>
            </w:r>
            <w:r>
              <w:rPr>
                <w:noProof/>
                <w:webHidden/>
              </w:rPr>
              <w:instrText xml:space="preserve"> PAGEREF _Toc466207355 \h </w:instrText>
            </w:r>
            <w:r>
              <w:rPr>
                <w:noProof/>
                <w:webHidden/>
              </w:rPr>
            </w:r>
            <w:r>
              <w:rPr>
                <w:noProof/>
                <w:webHidden/>
              </w:rPr>
              <w:fldChar w:fldCharType="separate"/>
            </w:r>
            <w:r>
              <w:rPr>
                <w:noProof/>
                <w:webHidden/>
              </w:rPr>
              <w:t>32</w:t>
            </w:r>
            <w:r>
              <w:rPr>
                <w:noProof/>
                <w:webHidden/>
              </w:rPr>
              <w:fldChar w:fldCharType="end"/>
            </w:r>
          </w:hyperlink>
        </w:p>
        <w:p w:rsidR="00E83DA6" w:rsidRDefault="00E83DA6">
          <w:pPr>
            <w:pStyle w:val="TOC2"/>
            <w:tabs>
              <w:tab w:val="right" w:leader="dot" w:pos="9016"/>
            </w:tabs>
            <w:rPr>
              <w:rFonts w:eastAsiaTheme="minorEastAsia"/>
              <w:noProof/>
              <w:lang w:eastAsia="en-GB"/>
            </w:rPr>
          </w:pPr>
          <w:hyperlink w:anchor="_Toc466207356" w:history="1">
            <w:r w:rsidRPr="009C2DBE">
              <w:rPr>
                <w:rStyle w:val="Hyperlink"/>
                <w:noProof/>
              </w:rPr>
              <w:t>7.5. Summary SD Impacts</w:t>
            </w:r>
            <w:r>
              <w:rPr>
                <w:noProof/>
                <w:webHidden/>
              </w:rPr>
              <w:tab/>
            </w:r>
            <w:r>
              <w:rPr>
                <w:noProof/>
                <w:webHidden/>
              </w:rPr>
              <w:fldChar w:fldCharType="begin"/>
            </w:r>
            <w:r>
              <w:rPr>
                <w:noProof/>
                <w:webHidden/>
              </w:rPr>
              <w:instrText xml:space="preserve"> PAGEREF _Toc466207356 \h </w:instrText>
            </w:r>
            <w:r>
              <w:rPr>
                <w:noProof/>
                <w:webHidden/>
              </w:rPr>
            </w:r>
            <w:r>
              <w:rPr>
                <w:noProof/>
                <w:webHidden/>
              </w:rPr>
              <w:fldChar w:fldCharType="separate"/>
            </w:r>
            <w:r>
              <w:rPr>
                <w:noProof/>
                <w:webHidden/>
              </w:rPr>
              <w:t>32</w:t>
            </w:r>
            <w:r>
              <w:rPr>
                <w:noProof/>
                <w:webHidden/>
              </w:rPr>
              <w:fldChar w:fldCharType="end"/>
            </w:r>
          </w:hyperlink>
        </w:p>
        <w:p w:rsidR="00E83DA6" w:rsidRDefault="00E83DA6">
          <w:pPr>
            <w:pStyle w:val="TOC1"/>
            <w:tabs>
              <w:tab w:val="right" w:leader="dot" w:pos="9016"/>
            </w:tabs>
            <w:rPr>
              <w:rFonts w:eastAsiaTheme="minorEastAsia"/>
              <w:noProof/>
              <w:lang w:eastAsia="en-GB"/>
            </w:rPr>
          </w:pPr>
          <w:hyperlink w:anchor="_Toc466207357" w:history="1">
            <w:r w:rsidRPr="009C2DBE">
              <w:rPr>
                <w:rStyle w:val="Hyperlink"/>
                <w:noProof/>
              </w:rPr>
              <w:t>8. Finance</w:t>
            </w:r>
            <w:r>
              <w:rPr>
                <w:noProof/>
                <w:webHidden/>
              </w:rPr>
              <w:tab/>
            </w:r>
            <w:r>
              <w:rPr>
                <w:noProof/>
                <w:webHidden/>
              </w:rPr>
              <w:fldChar w:fldCharType="begin"/>
            </w:r>
            <w:r>
              <w:rPr>
                <w:noProof/>
                <w:webHidden/>
              </w:rPr>
              <w:instrText xml:space="preserve"> PAGEREF _Toc466207357 \h </w:instrText>
            </w:r>
            <w:r>
              <w:rPr>
                <w:noProof/>
                <w:webHidden/>
              </w:rPr>
            </w:r>
            <w:r>
              <w:rPr>
                <w:noProof/>
                <w:webHidden/>
              </w:rPr>
              <w:fldChar w:fldCharType="separate"/>
            </w:r>
            <w:r>
              <w:rPr>
                <w:noProof/>
                <w:webHidden/>
              </w:rPr>
              <w:t>34</w:t>
            </w:r>
            <w:r>
              <w:rPr>
                <w:noProof/>
                <w:webHidden/>
              </w:rPr>
              <w:fldChar w:fldCharType="end"/>
            </w:r>
          </w:hyperlink>
        </w:p>
        <w:p w:rsidR="00E83DA6" w:rsidRDefault="00E83DA6">
          <w:pPr>
            <w:pStyle w:val="TOC1"/>
            <w:tabs>
              <w:tab w:val="right" w:leader="dot" w:pos="9016"/>
            </w:tabs>
            <w:rPr>
              <w:rFonts w:eastAsiaTheme="minorEastAsia"/>
              <w:noProof/>
              <w:lang w:eastAsia="en-GB"/>
            </w:rPr>
          </w:pPr>
          <w:hyperlink w:anchor="_Toc466207358" w:history="1">
            <w:r w:rsidRPr="009C2DBE">
              <w:rPr>
                <w:rStyle w:val="Hyperlink"/>
                <w:noProof/>
              </w:rPr>
              <w:t>9. MRV</w:t>
            </w:r>
            <w:r>
              <w:rPr>
                <w:noProof/>
                <w:webHidden/>
              </w:rPr>
              <w:tab/>
            </w:r>
            <w:r>
              <w:rPr>
                <w:noProof/>
                <w:webHidden/>
              </w:rPr>
              <w:fldChar w:fldCharType="begin"/>
            </w:r>
            <w:r>
              <w:rPr>
                <w:noProof/>
                <w:webHidden/>
              </w:rPr>
              <w:instrText xml:space="preserve"> PAGEREF _Toc466207358 \h </w:instrText>
            </w:r>
            <w:r>
              <w:rPr>
                <w:noProof/>
                <w:webHidden/>
              </w:rPr>
            </w:r>
            <w:r>
              <w:rPr>
                <w:noProof/>
                <w:webHidden/>
              </w:rPr>
              <w:fldChar w:fldCharType="separate"/>
            </w:r>
            <w:r>
              <w:rPr>
                <w:noProof/>
                <w:webHidden/>
              </w:rPr>
              <w:t>36</w:t>
            </w:r>
            <w:r>
              <w:rPr>
                <w:noProof/>
                <w:webHidden/>
              </w:rPr>
              <w:fldChar w:fldCharType="end"/>
            </w:r>
          </w:hyperlink>
        </w:p>
        <w:p w:rsidR="00E83DA6" w:rsidRDefault="00E83DA6">
          <w:pPr>
            <w:pStyle w:val="TOC2"/>
            <w:tabs>
              <w:tab w:val="right" w:leader="dot" w:pos="9016"/>
            </w:tabs>
            <w:rPr>
              <w:rFonts w:eastAsiaTheme="minorEastAsia"/>
              <w:noProof/>
              <w:lang w:eastAsia="en-GB"/>
            </w:rPr>
          </w:pPr>
          <w:hyperlink w:anchor="_Toc466207359" w:history="1">
            <w:r w:rsidRPr="009C2DBE">
              <w:rPr>
                <w:rStyle w:val="Hyperlink"/>
                <w:noProof/>
              </w:rPr>
              <w:t>9.1. National Context</w:t>
            </w:r>
            <w:r>
              <w:rPr>
                <w:noProof/>
                <w:webHidden/>
              </w:rPr>
              <w:tab/>
            </w:r>
            <w:r>
              <w:rPr>
                <w:noProof/>
                <w:webHidden/>
              </w:rPr>
              <w:fldChar w:fldCharType="begin"/>
            </w:r>
            <w:r>
              <w:rPr>
                <w:noProof/>
                <w:webHidden/>
              </w:rPr>
              <w:instrText xml:space="preserve"> PAGEREF _Toc466207359 \h </w:instrText>
            </w:r>
            <w:r>
              <w:rPr>
                <w:noProof/>
                <w:webHidden/>
              </w:rPr>
            </w:r>
            <w:r>
              <w:rPr>
                <w:noProof/>
                <w:webHidden/>
              </w:rPr>
              <w:fldChar w:fldCharType="separate"/>
            </w:r>
            <w:r>
              <w:rPr>
                <w:noProof/>
                <w:webHidden/>
              </w:rPr>
              <w:t>36</w:t>
            </w:r>
            <w:r>
              <w:rPr>
                <w:noProof/>
                <w:webHidden/>
              </w:rPr>
              <w:fldChar w:fldCharType="end"/>
            </w:r>
          </w:hyperlink>
        </w:p>
        <w:p w:rsidR="00E83DA6" w:rsidRDefault="00E83DA6">
          <w:pPr>
            <w:pStyle w:val="TOC2"/>
            <w:tabs>
              <w:tab w:val="right" w:leader="dot" w:pos="9016"/>
            </w:tabs>
            <w:rPr>
              <w:rFonts w:eastAsiaTheme="minorEastAsia"/>
              <w:noProof/>
              <w:lang w:eastAsia="en-GB"/>
            </w:rPr>
          </w:pPr>
          <w:hyperlink w:anchor="_Toc466207360" w:history="1">
            <w:r w:rsidRPr="009C2DBE">
              <w:rPr>
                <w:rStyle w:val="Hyperlink"/>
                <w:noProof/>
              </w:rPr>
              <w:t>9.2. Monitoring</w:t>
            </w:r>
            <w:r>
              <w:rPr>
                <w:noProof/>
                <w:webHidden/>
              </w:rPr>
              <w:tab/>
            </w:r>
            <w:r>
              <w:rPr>
                <w:noProof/>
                <w:webHidden/>
              </w:rPr>
              <w:fldChar w:fldCharType="begin"/>
            </w:r>
            <w:r>
              <w:rPr>
                <w:noProof/>
                <w:webHidden/>
              </w:rPr>
              <w:instrText xml:space="preserve"> PAGEREF _Toc466207360 \h </w:instrText>
            </w:r>
            <w:r>
              <w:rPr>
                <w:noProof/>
                <w:webHidden/>
              </w:rPr>
            </w:r>
            <w:r>
              <w:rPr>
                <w:noProof/>
                <w:webHidden/>
              </w:rPr>
              <w:fldChar w:fldCharType="separate"/>
            </w:r>
            <w:r>
              <w:rPr>
                <w:noProof/>
                <w:webHidden/>
              </w:rPr>
              <w:t>36</w:t>
            </w:r>
            <w:r>
              <w:rPr>
                <w:noProof/>
                <w:webHidden/>
              </w:rPr>
              <w:fldChar w:fldCharType="end"/>
            </w:r>
          </w:hyperlink>
        </w:p>
        <w:p w:rsidR="00E83DA6" w:rsidRDefault="00E83DA6">
          <w:pPr>
            <w:pStyle w:val="TOC2"/>
            <w:tabs>
              <w:tab w:val="right" w:leader="dot" w:pos="9016"/>
            </w:tabs>
            <w:rPr>
              <w:rFonts w:eastAsiaTheme="minorEastAsia"/>
              <w:noProof/>
              <w:lang w:eastAsia="en-GB"/>
            </w:rPr>
          </w:pPr>
          <w:hyperlink w:anchor="_Toc466207361" w:history="1">
            <w:r w:rsidRPr="009C2DBE">
              <w:rPr>
                <w:rStyle w:val="Hyperlink"/>
                <w:noProof/>
              </w:rPr>
              <w:t>9.3. Institutional set-Up</w:t>
            </w:r>
            <w:r>
              <w:rPr>
                <w:noProof/>
                <w:webHidden/>
              </w:rPr>
              <w:tab/>
            </w:r>
            <w:r>
              <w:rPr>
                <w:noProof/>
                <w:webHidden/>
              </w:rPr>
              <w:fldChar w:fldCharType="begin"/>
            </w:r>
            <w:r>
              <w:rPr>
                <w:noProof/>
                <w:webHidden/>
              </w:rPr>
              <w:instrText xml:space="preserve"> PAGEREF _Toc466207361 \h </w:instrText>
            </w:r>
            <w:r>
              <w:rPr>
                <w:noProof/>
                <w:webHidden/>
              </w:rPr>
            </w:r>
            <w:r>
              <w:rPr>
                <w:noProof/>
                <w:webHidden/>
              </w:rPr>
              <w:fldChar w:fldCharType="separate"/>
            </w:r>
            <w:r>
              <w:rPr>
                <w:noProof/>
                <w:webHidden/>
              </w:rPr>
              <w:t>38</w:t>
            </w:r>
            <w:r>
              <w:rPr>
                <w:noProof/>
                <w:webHidden/>
              </w:rPr>
              <w:fldChar w:fldCharType="end"/>
            </w:r>
          </w:hyperlink>
        </w:p>
        <w:p w:rsidR="00E83DA6" w:rsidRDefault="00E83DA6">
          <w:pPr>
            <w:pStyle w:val="TOC1"/>
            <w:tabs>
              <w:tab w:val="right" w:leader="dot" w:pos="9016"/>
            </w:tabs>
            <w:rPr>
              <w:rFonts w:eastAsiaTheme="minorEastAsia"/>
              <w:noProof/>
              <w:lang w:eastAsia="en-GB"/>
            </w:rPr>
          </w:pPr>
          <w:hyperlink w:anchor="_Toc466207362" w:history="1">
            <w:r w:rsidRPr="009C2DBE">
              <w:rPr>
                <w:rStyle w:val="Hyperlink"/>
                <w:noProof/>
              </w:rPr>
              <w:t>10. NAMA Implementation Arrangements</w:t>
            </w:r>
            <w:r>
              <w:rPr>
                <w:noProof/>
                <w:webHidden/>
              </w:rPr>
              <w:tab/>
            </w:r>
            <w:r>
              <w:rPr>
                <w:noProof/>
                <w:webHidden/>
              </w:rPr>
              <w:fldChar w:fldCharType="begin"/>
            </w:r>
            <w:r>
              <w:rPr>
                <w:noProof/>
                <w:webHidden/>
              </w:rPr>
              <w:instrText xml:space="preserve"> PAGEREF _Toc466207362 \h </w:instrText>
            </w:r>
            <w:r>
              <w:rPr>
                <w:noProof/>
                <w:webHidden/>
              </w:rPr>
            </w:r>
            <w:r>
              <w:rPr>
                <w:noProof/>
                <w:webHidden/>
              </w:rPr>
              <w:fldChar w:fldCharType="separate"/>
            </w:r>
            <w:r>
              <w:rPr>
                <w:noProof/>
                <w:webHidden/>
              </w:rPr>
              <w:t>39</w:t>
            </w:r>
            <w:r>
              <w:rPr>
                <w:noProof/>
                <w:webHidden/>
              </w:rPr>
              <w:fldChar w:fldCharType="end"/>
            </w:r>
          </w:hyperlink>
        </w:p>
        <w:p w:rsidR="00E83DA6" w:rsidRDefault="00E83DA6">
          <w:pPr>
            <w:pStyle w:val="TOC1"/>
            <w:tabs>
              <w:tab w:val="right" w:leader="dot" w:pos="9016"/>
            </w:tabs>
            <w:rPr>
              <w:rStyle w:val="Hyperlink"/>
              <w:noProof/>
            </w:rPr>
          </w:pPr>
        </w:p>
        <w:p w:rsidR="00E83DA6" w:rsidRDefault="00E83DA6">
          <w:pPr>
            <w:pStyle w:val="TOC1"/>
            <w:tabs>
              <w:tab w:val="right" w:leader="dot" w:pos="9016"/>
            </w:tabs>
            <w:rPr>
              <w:rFonts w:eastAsiaTheme="minorEastAsia"/>
              <w:noProof/>
              <w:lang w:eastAsia="en-GB"/>
            </w:rPr>
          </w:pPr>
          <w:hyperlink w:anchor="_Toc466207363" w:history="1">
            <w:r w:rsidRPr="009C2DBE">
              <w:rPr>
                <w:rStyle w:val="Hyperlink"/>
                <w:noProof/>
              </w:rPr>
              <w:t>Annex 1: Calculations</w:t>
            </w:r>
            <w:r>
              <w:rPr>
                <w:noProof/>
                <w:webHidden/>
              </w:rPr>
              <w:tab/>
            </w:r>
            <w:r>
              <w:rPr>
                <w:noProof/>
                <w:webHidden/>
              </w:rPr>
              <w:fldChar w:fldCharType="begin"/>
            </w:r>
            <w:r>
              <w:rPr>
                <w:noProof/>
                <w:webHidden/>
              </w:rPr>
              <w:instrText xml:space="preserve"> PAGEREF _Toc466207363 \h </w:instrText>
            </w:r>
            <w:r>
              <w:rPr>
                <w:noProof/>
                <w:webHidden/>
              </w:rPr>
            </w:r>
            <w:r>
              <w:rPr>
                <w:noProof/>
                <w:webHidden/>
              </w:rPr>
              <w:fldChar w:fldCharType="separate"/>
            </w:r>
            <w:r>
              <w:rPr>
                <w:noProof/>
                <w:webHidden/>
              </w:rPr>
              <w:t>40</w:t>
            </w:r>
            <w:r>
              <w:rPr>
                <w:noProof/>
                <w:webHidden/>
              </w:rPr>
              <w:fldChar w:fldCharType="end"/>
            </w:r>
          </w:hyperlink>
        </w:p>
        <w:p w:rsidR="00E83DA6" w:rsidRDefault="00E83DA6">
          <w:pPr>
            <w:pStyle w:val="TOC2"/>
            <w:tabs>
              <w:tab w:val="right" w:leader="dot" w:pos="9016"/>
            </w:tabs>
            <w:rPr>
              <w:rFonts w:eastAsiaTheme="minorEastAsia"/>
              <w:noProof/>
              <w:lang w:eastAsia="en-GB"/>
            </w:rPr>
          </w:pPr>
          <w:hyperlink w:anchor="_Toc466207364" w:history="1">
            <w:r w:rsidRPr="009C2DBE">
              <w:rPr>
                <w:rStyle w:val="Hyperlink"/>
                <w:noProof/>
              </w:rPr>
              <w:t>A1.1: General Input Parameters</w:t>
            </w:r>
            <w:r>
              <w:rPr>
                <w:noProof/>
                <w:webHidden/>
              </w:rPr>
              <w:tab/>
            </w:r>
            <w:r>
              <w:rPr>
                <w:noProof/>
                <w:webHidden/>
              </w:rPr>
              <w:fldChar w:fldCharType="begin"/>
            </w:r>
            <w:r>
              <w:rPr>
                <w:noProof/>
                <w:webHidden/>
              </w:rPr>
              <w:instrText xml:space="preserve"> PAGEREF _Toc466207364 \h </w:instrText>
            </w:r>
            <w:r>
              <w:rPr>
                <w:noProof/>
                <w:webHidden/>
              </w:rPr>
            </w:r>
            <w:r>
              <w:rPr>
                <w:noProof/>
                <w:webHidden/>
              </w:rPr>
              <w:fldChar w:fldCharType="separate"/>
            </w:r>
            <w:r>
              <w:rPr>
                <w:noProof/>
                <w:webHidden/>
              </w:rPr>
              <w:t>40</w:t>
            </w:r>
            <w:r>
              <w:rPr>
                <w:noProof/>
                <w:webHidden/>
              </w:rPr>
              <w:fldChar w:fldCharType="end"/>
            </w:r>
          </w:hyperlink>
        </w:p>
        <w:p w:rsidR="00E83DA6" w:rsidRDefault="00E83DA6">
          <w:pPr>
            <w:pStyle w:val="TOC2"/>
            <w:tabs>
              <w:tab w:val="right" w:leader="dot" w:pos="9016"/>
            </w:tabs>
            <w:rPr>
              <w:rFonts w:eastAsiaTheme="minorEastAsia"/>
              <w:noProof/>
              <w:lang w:eastAsia="en-GB"/>
            </w:rPr>
          </w:pPr>
          <w:hyperlink w:anchor="_Toc466207365" w:history="1">
            <w:r w:rsidRPr="009C2DBE">
              <w:rPr>
                <w:rStyle w:val="Hyperlink"/>
                <w:noProof/>
              </w:rPr>
              <w:t>A1.2: Vehicle Parameters</w:t>
            </w:r>
            <w:r>
              <w:rPr>
                <w:noProof/>
                <w:webHidden/>
              </w:rPr>
              <w:tab/>
            </w:r>
            <w:r>
              <w:rPr>
                <w:noProof/>
                <w:webHidden/>
              </w:rPr>
              <w:fldChar w:fldCharType="begin"/>
            </w:r>
            <w:r>
              <w:rPr>
                <w:noProof/>
                <w:webHidden/>
              </w:rPr>
              <w:instrText xml:space="preserve"> PAGEREF _Toc466207365 \h </w:instrText>
            </w:r>
            <w:r>
              <w:rPr>
                <w:noProof/>
                <w:webHidden/>
              </w:rPr>
            </w:r>
            <w:r>
              <w:rPr>
                <w:noProof/>
                <w:webHidden/>
              </w:rPr>
              <w:fldChar w:fldCharType="separate"/>
            </w:r>
            <w:r>
              <w:rPr>
                <w:noProof/>
                <w:webHidden/>
              </w:rPr>
              <w:t>40</w:t>
            </w:r>
            <w:r>
              <w:rPr>
                <w:noProof/>
                <w:webHidden/>
              </w:rPr>
              <w:fldChar w:fldCharType="end"/>
            </w:r>
          </w:hyperlink>
        </w:p>
        <w:p w:rsidR="00E83DA6" w:rsidRDefault="00E83DA6">
          <w:pPr>
            <w:pStyle w:val="TOC2"/>
            <w:tabs>
              <w:tab w:val="right" w:leader="dot" w:pos="9016"/>
            </w:tabs>
            <w:rPr>
              <w:rFonts w:eastAsiaTheme="minorEastAsia"/>
              <w:noProof/>
              <w:lang w:eastAsia="en-GB"/>
            </w:rPr>
          </w:pPr>
          <w:hyperlink w:anchor="_Toc466207366" w:history="1">
            <w:r w:rsidRPr="009C2DBE">
              <w:rPr>
                <w:rStyle w:val="Hyperlink"/>
                <w:noProof/>
              </w:rPr>
              <w:t>A1.3: Emission Factors Per Mode Passenger Transport</w:t>
            </w:r>
            <w:r>
              <w:rPr>
                <w:noProof/>
                <w:webHidden/>
              </w:rPr>
              <w:tab/>
            </w:r>
            <w:r>
              <w:rPr>
                <w:noProof/>
                <w:webHidden/>
              </w:rPr>
              <w:fldChar w:fldCharType="begin"/>
            </w:r>
            <w:r>
              <w:rPr>
                <w:noProof/>
                <w:webHidden/>
              </w:rPr>
              <w:instrText xml:space="preserve"> PAGEREF _Toc466207366 \h </w:instrText>
            </w:r>
            <w:r>
              <w:rPr>
                <w:noProof/>
                <w:webHidden/>
              </w:rPr>
            </w:r>
            <w:r>
              <w:rPr>
                <w:noProof/>
                <w:webHidden/>
              </w:rPr>
              <w:fldChar w:fldCharType="separate"/>
            </w:r>
            <w:r>
              <w:rPr>
                <w:noProof/>
                <w:webHidden/>
              </w:rPr>
              <w:t>41</w:t>
            </w:r>
            <w:r>
              <w:rPr>
                <w:noProof/>
                <w:webHidden/>
              </w:rPr>
              <w:fldChar w:fldCharType="end"/>
            </w:r>
          </w:hyperlink>
        </w:p>
        <w:p w:rsidR="00E83DA6" w:rsidRDefault="00E83DA6">
          <w:pPr>
            <w:pStyle w:val="TOC2"/>
            <w:tabs>
              <w:tab w:val="right" w:leader="dot" w:pos="9016"/>
            </w:tabs>
            <w:rPr>
              <w:rFonts w:eastAsiaTheme="minorEastAsia"/>
              <w:noProof/>
              <w:lang w:eastAsia="en-GB"/>
            </w:rPr>
          </w:pPr>
          <w:hyperlink w:anchor="_Toc466207367" w:history="1">
            <w:r w:rsidRPr="009C2DBE">
              <w:rPr>
                <w:rStyle w:val="Hyperlink"/>
                <w:noProof/>
              </w:rPr>
              <w:t>A1.4: Emission Factor per Mode Freight</w:t>
            </w:r>
            <w:r>
              <w:rPr>
                <w:noProof/>
                <w:webHidden/>
              </w:rPr>
              <w:tab/>
            </w:r>
            <w:r>
              <w:rPr>
                <w:noProof/>
                <w:webHidden/>
              </w:rPr>
              <w:fldChar w:fldCharType="begin"/>
            </w:r>
            <w:r>
              <w:rPr>
                <w:noProof/>
                <w:webHidden/>
              </w:rPr>
              <w:instrText xml:space="preserve"> PAGEREF _Toc466207367 \h </w:instrText>
            </w:r>
            <w:r>
              <w:rPr>
                <w:noProof/>
                <w:webHidden/>
              </w:rPr>
            </w:r>
            <w:r>
              <w:rPr>
                <w:noProof/>
                <w:webHidden/>
              </w:rPr>
              <w:fldChar w:fldCharType="separate"/>
            </w:r>
            <w:r>
              <w:rPr>
                <w:noProof/>
                <w:webHidden/>
              </w:rPr>
              <w:t>41</w:t>
            </w:r>
            <w:r>
              <w:rPr>
                <w:noProof/>
                <w:webHidden/>
              </w:rPr>
              <w:fldChar w:fldCharType="end"/>
            </w:r>
          </w:hyperlink>
        </w:p>
        <w:p w:rsidR="00E83DA6" w:rsidRDefault="00E83DA6">
          <w:pPr>
            <w:pStyle w:val="TOC2"/>
            <w:tabs>
              <w:tab w:val="right" w:leader="dot" w:pos="9016"/>
            </w:tabs>
            <w:rPr>
              <w:rFonts w:eastAsiaTheme="minorEastAsia"/>
              <w:noProof/>
              <w:lang w:eastAsia="en-GB"/>
            </w:rPr>
          </w:pPr>
          <w:hyperlink w:anchor="_Toc466207368" w:history="1">
            <w:r w:rsidRPr="009C2DBE">
              <w:rPr>
                <w:rStyle w:val="Hyperlink"/>
                <w:noProof/>
              </w:rPr>
              <w:t>A1.5: Baseline</w:t>
            </w:r>
            <w:r>
              <w:rPr>
                <w:noProof/>
                <w:webHidden/>
              </w:rPr>
              <w:tab/>
            </w:r>
            <w:r>
              <w:rPr>
                <w:noProof/>
                <w:webHidden/>
              </w:rPr>
              <w:fldChar w:fldCharType="begin"/>
            </w:r>
            <w:r>
              <w:rPr>
                <w:noProof/>
                <w:webHidden/>
              </w:rPr>
              <w:instrText xml:space="preserve"> PAGEREF _Toc466207368 \h </w:instrText>
            </w:r>
            <w:r>
              <w:rPr>
                <w:noProof/>
                <w:webHidden/>
              </w:rPr>
            </w:r>
            <w:r>
              <w:rPr>
                <w:noProof/>
                <w:webHidden/>
              </w:rPr>
              <w:fldChar w:fldCharType="separate"/>
            </w:r>
            <w:r>
              <w:rPr>
                <w:noProof/>
                <w:webHidden/>
              </w:rPr>
              <w:t>42</w:t>
            </w:r>
            <w:r>
              <w:rPr>
                <w:noProof/>
                <w:webHidden/>
              </w:rPr>
              <w:fldChar w:fldCharType="end"/>
            </w:r>
          </w:hyperlink>
        </w:p>
        <w:p w:rsidR="00E83DA6" w:rsidRDefault="00E83DA6">
          <w:pPr>
            <w:pStyle w:val="TOC2"/>
            <w:tabs>
              <w:tab w:val="right" w:leader="dot" w:pos="9016"/>
            </w:tabs>
            <w:rPr>
              <w:rFonts w:eastAsiaTheme="minorEastAsia"/>
              <w:noProof/>
              <w:lang w:eastAsia="en-GB"/>
            </w:rPr>
          </w:pPr>
          <w:hyperlink w:anchor="_Toc466207369" w:history="1">
            <w:r w:rsidRPr="009C2DBE">
              <w:rPr>
                <w:rStyle w:val="Hyperlink"/>
                <w:noProof/>
              </w:rPr>
              <w:t>A1.6: Mitigation Impact</w:t>
            </w:r>
            <w:r>
              <w:rPr>
                <w:noProof/>
                <w:webHidden/>
              </w:rPr>
              <w:tab/>
            </w:r>
            <w:r>
              <w:rPr>
                <w:noProof/>
                <w:webHidden/>
              </w:rPr>
              <w:fldChar w:fldCharType="begin"/>
            </w:r>
            <w:r>
              <w:rPr>
                <w:noProof/>
                <w:webHidden/>
              </w:rPr>
              <w:instrText xml:space="preserve"> PAGEREF _Toc466207369 \h </w:instrText>
            </w:r>
            <w:r>
              <w:rPr>
                <w:noProof/>
                <w:webHidden/>
              </w:rPr>
            </w:r>
            <w:r>
              <w:rPr>
                <w:noProof/>
                <w:webHidden/>
              </w:rPr>
              <w:fldChar w:fldCharType="separate"/>
            </w:r>
            <w:r>
              <w:rPr>
                <w:noProof/>
                <w:webHidden/>
              </w:rPr>
              <w:t>42</w:t>
            </w:r>
            <w:r>
              <w:rPr>
                <w:noProof/>
                <w:webHidden/>
              </w:rPr>
              <w:fldChar w:fldCharType="end"/>
            </w:r>
          </w:hyperlink>
        </w:p>
        <w:p w:rsidR="00E83DA6" w:rsidRDefault="00E83DA6">
          <w:pPr>
            <w:pStyle w:val="TOC2"/>
            <w:tabs>
              <w:tab w:val="right" w:leader="dot" w:pos="9016"/>
            </w:tabs>
            <w:rPr>
              <w:rFonts w:eastAsiaTheme="minorEastAsia"/>
              <w:noProof/>
              <w:lang w:eastAsia="en-GB"/>
            </w:rPr>
          </w:pPr>
          <w:hyperlink w:anchor="_Toc466207370" w:history="1">
            <w:r w:rsidRPr="009C2DBE">
              <w:rPr>
                <w:rStyle w:val="Hyperlink"/>
                <w:noProof/>
              </w:rPr>
              <w:t>A1.7: Rail and Road Construction Parameters</w:t>
            </w:r>
            <w:r>
              <w:rPr>
                <w:noProof/>
                <w:webHidden/>
              </w:rPr>
              <w:tab/>
            </w:r>
            <w:r>
              <w:rPr>
                <w:noProof/>
                <w:webHidden/>
              </w:rPr>
              <w:fldChar w:fldCharType="begin"/>
            </w:r>
            <w:r>
              <w:rPr>
                <w:noProof/>
                <w:webHidden/>
              </w:rPr>
              <w:instrText xml:space="preserve"> PAGEREF _Toc466207370 \h </w:instrText>
            </w:r>
            <w:r>
              <w:rPr>
                <w:noProof/>
                <w:webHidden/>
              </w:rPr>
            </w:r>
            <w:r>
              <w:rPr>
                <w:noProof/>
                <w:webHidden/>
              </w:rPr>
              <w:fldChar w:fldCharType="separate"/>
            </w:r>
            <w:r>
              <w:rPr>
                <w:noProof/>
                <w:webHidden/>
              </w:rPr>
              <w:t>42</w:t>
            </w:r>
            <w:r>
              <w:rPr>
                <w:noProof/>
                <w:webHidden/>
              </w:rPr>
              <w:fldChar w:fldCharType="end"/>
            </w:r>
          </w:hyperlink>
        </w:p>
        <w:p w:rsidR="00E83DA6" w:rsidRDefault="00E83DA6">
          <w:pPr>
            <w:pStyle w:val="TOC2"/>
            <w:tabs>
              <w:tab w:val="right" w:leader="dot" w:pos="9016"/>
            </w:tabs>
            <w:rPr>
              <w:rFonts w:eastAsiaTheme="minorEastAsia"/>
              <w:noProof/>
              <w:lang w:eastAsia="en-GB"/>
            </w:rPr>
          </w:pPr>
          <w:hyperlink w:anchor="_Toc466207371" w:history="1">
            <w:r w:rsidRPr="009C2DBE">
              <w:rPr>
                <w:rStyle w:val="Hyperlink"/>
                <w:noProof/>
              </w:rPr>
              <w:t>A1.8: Indirect Emissions Rail and Road Construction 2030</w:t>
            </w:r>
            <w:r>
              <w:rPr>
                <w:noProof/>
                <w:webHidden/>
              </w:rPr>
              <w:tab/>
            </w:r>
            <w:r>
              <w:rPr>
                <w:noProof/>
                <w:webHidden/>
              </w:rPr>
              <w:fldChar w:fldCharType="begin"/>
            </w:r>
            <w:r>
              <w:rPr>
                <w:noProof/>
                <w:webHidden/>
              </w:rPr>
              <w:instrText xml:space="preserve"> PAGEREF _Toc466207371 \h </w:instrText>
            </w:r>
            <w:r>
              <w:rPr>
                <w:noProof/>
                <w:webHidden/>
              </w:rPr>
            </w:r>
            <w:r>
              <w:rPr>
                <w:noProof/>
                <w:webHidden/>
              </w:rPr>
              <w:fldChar w:fldCharType="separate"/>
            </w:r>
            <w:r>
              <w:rPr>
                <w:noProof/>
                <w:webHidden/>
              </w:rPr>
              <w:t>43</w:t>
            </w:r>
            <w:r>
              <w:rPr>
                <w:noProof/>
                <w:webHidden/>
              </w:rPr>
              <w:fldChar w:fldCharType="end"/>
            </w:r>
          </w:hyperlink>
        </w:p>
        <w:p w:rsidR="00E83DA6" w:rsidRDefault="00E83DA6">
          <w:pPr>
            <w:pStyle w:val="TOC2"/>
            <w:tabs>
              <w:tab w:val="right" w:leader="dot" w:pos="9016"/>
            </w:tabs>
            <w:rPr>
              <w:rFonts w:eastAsiaTheme="minorEastAsia"/>
              <w:noProof/>
              <w:lang w:eastAsia="en-GB"/>
            </w:rPr>
          </w:pPr>
          <w:hyperlink w:anchor="_Toc466207372" w:history="1">
            <w:r w:rsidRPr="009C2DBE">
              <w:rPr>
                <w:rStyle w:val="Hyperlink"/>
                <w:noProof/>
              </w:rPr>
              <w:t>A1.9: Vehicle Manufacturing Parameters</w:t>
            </w:r>
            <w:r>
              <w:rPr>
                <w:noProof/>
                <w:webHidden/>
              </w:rPr>
              <w:tab/>
            </w:r>
            <w:r>
              <w:rPr>
                <w:noProof/>
                <w:webHidden/>
              </w:rPr>
              <w:fldChar w:fldCharType="begin"/>
            </w:r>
            <w:r>
              <w:rPr>
                <w:noProof/>
                <w:webHidden/>
              </w:rPr>
              <w:instrText xml:space="preserve"> PAGEREF _Toc466207372 \h </w:instrText>
            </w:r>
            <w:r>
              <w:rPr>
                <w:noProof/>
                <w:webHidden/>
              </w:rPr>
            </w:r>
            <w:r>
              <w:rPr>
                <w:noProof/>
                <w:webHidden/>
              </w:rPr>
              <w:fldChar w:fldCharType="separate"/>
            </w:r>
            <w:r>
              <w:rPr>
                <w:noProof/>
                <w:webHidden/>
              </w:rPr>
              <w:t>43</w:t>
            </w:r>
            <w:r>
              <w:rPr>
                <w:noProof/>
                <w:webHidden/>
              </w:rPr>
              <w:fldChar w:fldCharType="end"/>
            </w:r>
          </w:hyperlink>
        </w:p>
        <w:p w:rsidR="00E83DA6" w:rsidRDefault="00E83DA6">
          <w:pPr>
            <w:pStyle w:val="TOC2"/>
            <w:tabs>
              <w:tab w:val="right" w:leader="dot" w:pos="9016"/>
            </w:tabs>
            <w:rPr>
              <w:rFonts w:eastAsiaTheme="minorEastAsia"/>
              <w:noProof/>
              <w:lang w:eastAsia="en-GB"/>
            </w:rPr>
          </w:pPr>
          <w:hyperlink w:anchor="_Toc466207373" w:history="1">
            <w:r w:rsidRPr="009C2DBE">
              <w:rPr>
                <w:rStyle w:val="Hyperlink"/>
                <w:noProof/>
              </w:rPr>
              <w:t>A1.10: Indirect Emissions Vehicle Manufacturing 2030</w:t>
            </w:r>
            <w:r>
              <w:rPr>
                <w:noProof/>
                <w:webHidden/>
              </w:rPr>
              <w:tab/>
            </w:r>
            <w:r>
              <w:rPr>
                <w:noProof/>
                <w:webHidden/>
              </w:rPr>
              <w:fldChar w:fldCharType="begin"/>
            </w:r>
            <w:r>
              <w:rPr>
                <w:noProof/>
                <w:webHidden/>
              </w:rPr>
              <w:instrText xml:space="preserve"> PAGEREF _Toc466207373 \h </w:instrText>
            </w:r>
            <w:r>
              <w:rPr>
                <w:noProof/>
                <w:webHidden/>
              </w:rPr>
            </w:r>
            <w:r>
              <w:rPr>
                <w:noProof/>
                <w:webHidden/>
              </w:rPr>
              <w:fldChar w:fldCharType="separate"/>
            </w:r>
            <w:r>
              <w:rPr>
                <w:noProof/>
                <w:webHidden/>
              </w:rPr>
              <w:t>43</w:t>
            </w:r>
            <w:r>
              <w:rPr>
                <w:noProof/>
                <w:webHidden/>
              </w:rPr>
              <w:fldChar w:fldCharType="end"/>
            </w:r>
          </w:hyperlink>
        </w:p>
        <w:p w:rsidR="00E83DA6" w:rsidRDefault="00E83DA6">
          <w:pPr>
            <w:pStyle w:val="TOC2"/>
            <w:tabs>
              <w:tab w:val="right" w:leader="dot" w:pos="9016"/>
            </w:tabs>
            <w:rPr>
              <w:rFonts w:eastAsiaTheme="minorEastAsia"/>
              <w:noProof/>
              <w:lang w:eastAsia="en-GB"/>
            </w:rPr>
          </w:pPr>
          <w:hyperlink w:anchor="_Toc466207374" w:history="1">
            <w:r w:rsidRPr="009C2DBE">
              <w:rPr>
                <w:rStyle w:val="Hyperlink"/>
                <w:noProof/>
              </w:rPr>
              <w:t>A1.11: SD Impact on Fuel Savings</w:t>
            </w:r>
            <w:r>
              <w:rPr>
                <w:noProof/>
                <w:webHidden/>
              </w:rPr>
              <w:tab/>
            </w:r>
            <w:r>
              <w:rPr>
                <w:noProof/>
                <w:webHidden/>
              </w:rPr>
              <w:fldChar w:fldCharType="begin"/>
            </w:r>
            <w:r>
              <w:rPr>
                <w:noProof/>
                <w:webHidden/>
              </w:rPr>
              <w:instrText xml:space="preserve"> PAGEREF _Toc466207374 \h </w:instrText>
            </w:r>
            <w:r>
              <w:rPr>
                <w:noProof/>
                <w:webHidden/>
              </w:rPr>
            </w:r>
            <w:r>
              <w:rPr>
                <w:noProof/>
                <w:webHidden/>
              </w:rPr>
              <w:fldChar w:fldCharType="separate"/>
            </w:r>
            <w:r>
              <w:rPr>
                <w:noProof/>
                <w:webHidden/>
              </w:rPr>
              <w:t>43</w:t>
            </w:r>
            <w:r>
              <w:rPr>
                <w:noProof/>
                <w:webHidden/>
              </w:rPr>
              <w:fldChar w:fldCharType="end"/>
            </w:r>
          </w:hyperlink>
        </w:p>
        <w:p w:rsidR="00E83DA6" w:rsidRDefault="00E83DA6">
          <w:pPr>
            <w:pStyle w:val="TOC2"/>
            <w:tabs>
              <w:tab w:val="right" w:leader="dot" w:pos="9016"/>
            </w:tabs>
            <w:rPr>
              <w:rFonts w:eastAsiaTheme="minorEastAsia"/>
              <w:noProof/>
              <w:lang w:eastAsia="en-GB"/>
            </w:rPr>
          </w:pPr>
          <w:hyperlink w:anchor="_Toc466207375" w:history="1">
            <w:r w:rsidRPr="009C2DBE">
              <w:rPr>
                <w:rStyle w:val="Hyperlink"/>
                <w:noProof/>
              </w:rPr>
              <w:t>A1.12: SD Impact on Transportation Fatalities and Accidents</w:t>
            </w:r>
            <w:r>
              <w:rPr>
                <w:noProof/>
                <w:webHidden/>
              </w:rPr>
              <w:tab/>
            </w:r>
            <w:r>
              <w:rPr>
                <w:noProof/>
                <w:webHidden/>
              </w:rPr>
              <w:fldChar w:fldCharType="begin"/>
            </w:r>
            <w:r>
              <w:rPr>
                <w:noProof/>
                <w:webHidden/>
              </w:rPr>
              <w:instrText xml:space="preserve"> PAGEREF _Toc466207375 \h </w:instrText>
            </w:r>
            <w:r>
              <w:rPr>
                <w:noProof/>
                <w:webHidden/>
              </w:rPr>
            </w:r>
            <w:r>
              <w:rPr>
                <w:noProof/>
                <w:webHidden/>
              </w:rPr>
              <w:fldChar w:fldCharType="separate"/>
            </w:r>
            <w:r>
              <w:rPr>
                <w:noProof/>
                <w:webHidden/>
              </w:rPr>
              <w:t>44</w:t>
            </w:r>
            <w:r>
              <w:rPr>
                <w:noProof/>
                <w:webHidden/>
              </w:rPr>
              <w:fldChar w:fldCharType="end"/>
            </w:r>
          </w:hyperlink>
        </w:p>
        <w:p w:rsidR="00E83DA6" w:rsidRDefault="00E83DA6">
          <w:pPr>
            <w:pStyle w:val="TOC2"/>
            <w:tabs>
              <w:tab w:val="right" w:leader="dot" w:pos="9016"/>
            </w:tabs>
            <w:rPr>
              <w:rFonts w:eastAsiaTheme="minorEastAsia"/>
              <w:noProof/>
              <w:lang w:eastAsia="en-GB"/>
            </w:rPr>
          </w:pPr>
          <w:hyperlink w:anchor="_Toc466207376" w:history="1">
            <w:r w:rsidRPr="009C2DBE">
              <w:rPr>
                <w:rStyle w:val="Hyperlink"/>
                <w:noProof/>
              </w:rPr>
              <w:t>A1.13: SD Impact on Air Pollution</w:t>
            </w:r>
            <w:r>
              <w:rPr>
                <w:noProof/>
                <w:webHidden/>
              </w:rPr>
              <w:tab/>
            </w:r>
            <w:r>
              <w:rPr>
                <w:noProof/>
                <w:webHidden/>
              </w:rPr>
              <w:fldChar w:fldCharType="begin"/>
            </w:r>
            <w:r>
              <w:rPr>
                <w:noProof/>
                <w:webHidden/>
              </w:rPr>
              <w:instrText xml:space="preserve"> PAGEREF _Toc466207376 \h </w:instrText>
            </w:r>
            <w:r>
              <w:rPr>
                <w:noProof/>
                <w:webHidden/>
              </w:rPr>
            </w:r>
            <w:r>
              <w:rPr>
                <w:noProof/>
                <w:webHidden/>
              </w:rPr>
              <w:fldChar w:fldCharType="separate"/>
            </w:r>
            <w:r>
              <w:rPr>
                <w:noProof/>
                <w:webHidden/>
              </w:rPr>
              <w:t>44</w:t>
            </w:r>
            <w:r>
              <w:rPr>
                <w:noProof/>
                <w:webHidden/>
              </w:rPr>
              <w:fldChar w:fldCharType="end"/>
            </w:r>
          </w:hyperlink>
        </w:p>
        <w:p w:rsidR="00E83DA6" w:rsidRDefault="00E83DA6">
          <w:pPr>
            <w:pStyle w:val="TOC2"/>
            <w:tabs>
              <w:tab w:val="right" w:leader="dot" w:pos="9016"/>
            </w:tabs>
            <w:rPr>
              <w:rFonts w:eastAsiaTheme="minorEastAsia"/>
              <w:noProof/>
              <w:lang w:eastAsia="en-GB"/>
            </w:rPr>
          </w:pPr>
          <w:hyperlink w:anchor="_Toc466207377" w:history="1">
            <w:r w:rsidRPr="009C2DBE">
              <w:rPr>
                <w:rStyle w:val="Hyperlink"/>
                <w:noProof/>
              </w:rPr>
              <w:t>A1.14: Cumulative SD Impact</w:t>
            </w:r>
            <w:r>
              <w:rPr>
                <w:noProof/>
                <w:webHidden/>
              </w:rPr>
              <w:tab/>
            </w:r>
            <w:r>
              <w:rPr>
                <w:noProof/>
                <w:webHidden/>
              </w:rPr>
              <w:fldChar w:fldCharType="begin"/>
            </w:r>
            <w:r>
              <w:rPr>
                <w:noProof/>
                <w:webHidden/>
              </w:rPr>
              <w:instrText xml:space="preserve"> PAGEREF _Toc466207377 \h </w:instrText>
            </w:r>
            <w:r>
              <w:rPr>
                <w:noProof/>
                <w:webHidden/>
              </w:rPr>
            </w:r>
            <w:r>
              <w:rPr>
                <w:noProof/>
                <w:webHidden/>
              </w:rPr>
              <w:fldChar w:fldCharType="separate"/>
            </w:r>
            <w:r>
              <w:rPr>
                <w:noProof/>
                <w:webHidden/>
              </w:rPr>
              <w:t>44</w:t>
            </w:r>
            <w:r>
              <w:rPr>
                <w:noProof/>
                <w:webHidden/>
              </w:rPr>
              <w:fldChar w:fldCharType="end"/>
            </w:r>
          </w:hyperlink>
        </w:p>
        <w:p w:rsidR="00E83DA6" w:rsidRDefault="00E83DA6">
          <w:pPr>
            <w:pStyle w:val="TOC1"/>
            <w:tabs>
              <w:tab w:val="right" w:leader="dot" w:pos="9016"/>
            </w:tabs>
            <w:rPr>
              <w:rFonts w:eastAsiaTheme="minorEastAsia"/>
              <w:noProof/>
              <w:lang w:eastAsia="en-GB"/>
            </w:rPr>
          </w:pPr>
          <w:hyperlink w:anchor="_Toc466207378" w:history="1">
            <w:r w:rsidRPr="009C2DBE">
              <w:rPr>
                <w:rStyle w:val="Hyperlink"/>
                <w:noProof/>
              </w:rPr>
              <w:t>Annex 2: MRV Parameters</w:t>
            </w:r>
            <w:r>
              <w:rPr>
                <w:noProof/>
                <w:webHidden/>
              </w:rPr>
              <w:tab/>
            </w:r>
            <w:r>
              <w:rPr>
                <w:noProof/>
                <w:webHidden/>
              </w:rPr>
              <w:fldChar w:fldCharType="begin"/>
            </w:r>
            <w:r>
              <w:rPr>
                <w:noProof/>
                <w:webHidden/>
              </w:rPr>
              <w:instrText xml:space="preserve"> PAGEREF _Toc466207378 \h </w:instrText>
            </w:r>
            <w:r>
              <w:rPr>
                <w:noProof/>
                <w:webHidden/>
              </w:rPr>
            </w:r>
            <w:r>
              <w:rPr>
                <w:noProof/>
                <w:webHidden/>
              </w:rPr>
              <w:fldChar w:fldCharType="separate"/>
            </w:r>
            <w:r>
              <w:rPr>
                <w:noProof/>
                <w:webHidden/>
              </w:rPr>
              <w:t>45</w:t>
            </w:r>
            <w:r>
              <w:rPr>
                <w:noProof/>
                <w:webHidden/>
              </w:rPr>
              <w:fldChar w:fldCharType="end"/>
            </w:r>
          </w:hyperlink>
        </w:p>
        <w:p w:rsidR="00E83DA6" w:rsidRDefault="00E83DA6">
          <w:pPr>
            <w:pStyle w:val="TOC2"/>
            <w:tabs>
              <w:tab w:val="right" w:leader="dot" w:pos="9016"/>
            </w:tabs>
            <w:rPr>
              <w:rFonts w:eastAsiaTheme="minorEastAsia"/>
              <w:noProof/>
              <w:lang w:eastAsia="en-GB"/>
            </w:rPr>
          </w:pPr>
          <w:hyperlink w:anchor="_Toc466207379" w:history="1">
            <w:r w:rsidRPr="009C2DBE">
              <w:rPr>
                <w:rStyle w:val="Hyperlink"/>
                <w:noProof/>
              </w:rPr>
              <w:t>A2.1. Result Indicators</w:t>
            </w:r>
            <w:r>
              <w:rPr>
                <w:noProof/>
                <w:webHidden/>
              </w:rPr>
              <w:tab/>
            </w:r>
            <w:r>
              <w:rPr>
                <w:noProof/>
                <w:webHidden/>
              </w:rPr>
              <w:fldChar w:fldCharType="begin"/>
            </w:r>
            <w:r>
              <w:rPr>
                <w:noProof/>
                <w:webHidden/>
              </w:rPr>
              <w:instrText xml:space="preserve"> PAGEREF _Toc466207379 \h </w:instrText>
            </w:r>
            <w:r>
              <w:rPr>
                <w:noProof/>
                <w:webHidden/>
              </w:rPr>
            </w:r>
            <w:r>
              <w:rPr>
                <w:noProof/>
                <w:webHidden/>
              </w:rPr>
              <w:fldChar w:fldCharType="separate"/>
            </w:r>
            <w:r>
              <w:rPr>
                <w:noProof/>
                <w:webHidden/>
              </w:rPr>
              <w:t>45</w:t>
            </w:r>
            <w:r>
              <w:rPr>
                <w:noProof/>
                <w:webHidden/>
              </w:rPr>
              <w:fldChar w:fldCharType="end"/>
            </w:r>
          </w:hyperlink>
        </w:p>
        <w:p w:rsidR="00E83DA6" w:rsidRDefault="00E83DA6">
          <w:pPr>
            <w:pStyle w:val="TOC2"/>
            <w:tabs>
              <w:tab w:val="right" w:leader="dot" w:pos="9016"/>
            </w:tabs>
            <w:rPr>
              <w:rFonts w:eastAsiaTheme="minorEastAsia"/>
              <w:noProof/>
              <w:lang w:eastAsia="en-GB"/>
            </w:rPr>
          </w:pPr>
          <w:hyperlink w:anchor="_Toc466207380" w:history="1">
            <w:r w:rsidRPr="009C2DBE">
              <w:rPr>
                <w:rStyle w:val="Hyperlink"/>
                <w:noProof/>
              </w:rPr>
              <w:t>A2.2. Annually Monitored Parameters</w:t>
            </w:r>
            <w:r>
              <w:rPr>
                <w:noProof/>
                <w:webHidden/>
              </w:rPr>
              <w:tab/>
            </w:r>
            <w:r>
              <w:rPr>
                <w:noProof/>
                <w:webHidden/>
              </w:rPr>
              <w:fldChar w:fldCharType="begin"/>
            </w:r>
            <w:r>
              <w:rPr>
                <w:noProof/>
                <w:webHidden/>
              </w:rPr>
              <w:instrText xml:space="preserve"> PAGEREF _Toc466207380 \h </w:instrText>
            </w:r>
            <w:r>
              <w:rPr>
                <w:noProof/>
                <w:webHidden/>
              </w:rPr>
            </w:r>
            <w:r>
              <w:rPr>
                <w:noProof/>
                <w:webHidden/>
              </w:rPr>
              <w:fldChar w:fldCharType="separate"/>
            </w:r>
            <w:r>
              <w:rPr>
                <w:noProof/>
                <w:webHidden/>
              </w:rPr>
              <w:t>47</w:t>
            </w:r>
            <w:r>
              <w:rPr>
                <w:noProof/>
                <w:webHidden/>
              </w:rPr>
              <w:fldChar w:fldCharType="end"/>
            </w:r>
          </w:hyperlink>
        </w:p>
        <w:p w:rsidR="00E83DA6" w:rsidRDefault="00E83DA6">
          <w:pPr>
            <w:pStyle w:val="TOC2"/>
            <w:tabs>
              <w:tab w:val="right" w:leader="dot" w:pos="9016"/>
            </w:tabs>
            <w:rPr>
              <w:rFonts w:eastAsiaTheme="minorEastAsia"/>
              <w:noProof/>
              <w:lang w:eastAsia="en-GB"/>
            </w:rPr>
          </w:pPr>
          <w:hyperlink w:anchor="_Toc466207381" w:history="1">
            <w:r w:rsidRPr="009C2DBE">
              <w:rPr>
                <w:rStyle w:val="Hyperlink"/>
                <w:noProof/>
              </w:rPr>
              <w:t>A2.3. Parameters Monitored Every 5 Years</w:t>
            </w:r>
            <w:r>
              <w:rPr>
                <w:noProof/>
                <w:webHidden/>
              </w:rPr>
              <w:tab/>
            </w:r>
            <w:r>
              <w:rPr>
                <w:noProof/>
                <w:webHidden/>
              </w:rPr>
              <w:fldChar w:fldCharType="begin"/>
            </w:r>
            <w:r>
              <w:rPr>
                <w:noProof/>
                <w:webHidden/>
              </w:rPr>
              <w:instrText xml:space="preserve"> PAGEREF _Toc466207381 \h </w:instrText>
            </w:r>
            <w:r>
              <w:rPr>
                <w:noProof/>
                <w:webHidden/>
              </w:rPr>
            </w:r>
            <w:r>
              <w:rPr>
                <w:noProof/>
                <w:webHidden/>
              </w:rPr>
              <w:fldChar w:fldCharType="separate"/>
            </w:r>
            <w:r>
              <w:rPr>
                <w:noProof/>
                <w:webHidden/>
              </w:rPr>
              <w:t>48</w:t>
            </w:r>
            <w:r>
              <w:rPr>
                <w:noProof/>
                <w:webHidden/>
              </w:rPr>
              <w:fldChar w:fldCharType="end"/>
            </w:r>
          </w:hyperlink>
        </w:p>
        <w:p w:rsidR="00E83DA6" w:rsidRDefault="00E83DA6">
          <w:pPr>
            <w:pStyle w:val="TOC2"/>
            <w:tabs>
              <w:tab w:val="right" w:leader="dot" w:pos="9016"/>
            </w:tabs>
            <w:rPr>
              <w:rFonts w:eastAsiaTheme="minorEastAsia"/>
              <w:noProof/>
              <w:lang w:eastAsia="en-GB"/>
            </w:rPr>
          </w:pPr>
          <w:hyperlink w:anchor="_Toc466207382" w:history="1">
            <w:r w:rsidRPr="009C2DBE">
              <w:rPr>
                <w:rStyle w:val="Hyperlink"/>
                <w:noProof/>
              </w:rPr>
              <w:t>A2.4. Default and Literature Based Parameters</w:t>
            </w:r>
            <w:r>
              <w:rPr>
                <w:noProof/>
                <w:webHidden/>
              </w:rPr>
              <w:tab/>
            </w:r>
            <w:r>
              <w:rPr>
                <w:noProof/>
                <w:webHidden/>
              </w:rPr>
              <w:fldChar w:fldCharType="begin"/>
            </w:r>
            <w:r>
              <w:rPr>
                <w:noProof/>
                <w:webHidden/>
              </w:rPr>
              <w:instrText xml:space="preserve"> PAGEREF _Toc466207382 \h </w:instrText>
            </w:r>
            <w:r>
              <w:rPr>
                <w:noProof/>
                <w:webHidden/>
              </w:rPr>
            </w:r>
            <w:r>
              <w:rPr>
                <w:noProof/>
                <w:webHidden/>
              </w:rPr>
              <w:fldChar w:fldCharType="separate"/>
            </w:r>
            <w:r>
              <w:rPr>
                <w:noProof/>
                <w:webHidden/>
              </w:rPr>
              <w:t>50</w:t>
            </w:r>
            <w:r>
              <w:rPr>
                <w:noProof/>
                <w:webHidden/>
              </w:rPr>
              <w:fldChar w:fldCharType="end"/>
            </w:r>
          </w:hyperlink>
        </w:p>
        <w:p w:rsidR="00E83DA6" w:rsidRDefault="00E83DA6">
          <w:pPr>
            <w:pStyle w:val="TOC1"/>
            <w:tabs>
              <w:tab w:val="right" w:leader="dot" w:pos="9016"/>
            </w:tabs>
            <w:rPr>
              <w:rFonts w:eastAsiaTheme="minorEastAsia"/>
              <w:noProof/>
              <w:lang w:eastAsia="en-GB"/>
            </w:rPr>
          </w:pPr>
          <w:hyperlink w:anchor="_Toc466207383" w:history="1">
            <w:r w:rsidRPr="009C2DBE">
              <w:rPr>
                <w:rStyle w:val="Hyperlink"/>
                <w:noProof/>
              </w:rPr>
              <w:t>Annex 3: Stakeholder Assessment</w:t>
            </w:r>
            <w:r>
              <w:rPr>
                <w:noProof/>
                <w:webHidden/>
              </w:rPr>
              <w:tab/>
            </w:r>
            <w:r>
              <w:rPr>
                <w:noProof/>
                <w:webHidden/>
              </w:rPr>
              <w:fldChar w:fldCharType="begin"/>
            </w:r>
            <w:r>
              <w:rPr>
                <w:noProof/>
                <w:webHidden/>
              </w:rPr>
              <w:instrText xml:space="preserve"> PAGEREF _Toc466207383 \h </w:instrText>
            </w:r>
            <w:r>
              <w:rPr>
                <w:noProof/>
                <w:webHidden/>
              </w:rPr>
            </w:r>
            <w:r>
              <w:rPr>
                <w:noProof/>
                <w:webHidden/>
              </w:rPr>
              <w:fldChar w:fldCharType="separate"/>
            </w:r>
            <w:r>
              <w:rPr>
                <w:noProof/>
                <w:webHidden/>
              </w:rPr>
              <w:t>53</w:t>
            </w:r>
            <w:r>
              <w:rPr>
                <w:noProof/>
                <w:webHidden/>
              </w:rPr>
              <w:fldChar w:fldCharType="end"/>
            </w:r>
          </w:hyperlink>
        </w:p>
        <w:p w:rsidR="00E83DA6" w:rsidRDefault="00E83DA6">
          <w:pPr>
            <w:pStyle w:val="TOC1"/>
            <w:tabs>
              <w:tab w:val="right" w:leader="dot" w:pos="9016"/>
            </w:tabs>
            <w:rPr>
              <w:rFonts w:eastAsiaTheme="minorEastAsia"/>
              <w:noProof/>
              <w:lang w:eastAsia="en-GB"/>
            </w:rPr>
          </w:pPr>
          <w:hyperlink w:anchor="_Toc466207384" w:history="1">
            <w:r w:rsidRPr="009C2DBE">
              <w:rPr>
                <w:rStyle w:val="Hyperlink"/>
                <w:noProof/>
              </w:rPr>
              <w:t>References</w:t>
            </w:r>
            <w:r>
              <w:rPr>
                <w:noProof/>
                <w:webHidden/>
              </w:rPr>
              <w:tab/>
            </w:r>
            <w:r>
              <w:rPr>
                <w:noProof/>
                <w:webHidden/>
              </w:rPr>
              <w:fldChar w:fldCharType="begin"/>
            </w:r>
            <w:r>
              <w:rPr>
                <w:noProof/>
                <w:webHidden/>
              </w:rPr>
              <w:instrText xml:space="preserve"> PAGEREF _Toc466207384 \h </w:instrText>
            </w:r>
            <w:r>
              <w:rPr>
                <w:noProof/>
                <w:webHidden/>
              </w:rPr>
            </w:r>
            <w:r>
              <w:rPr>
                <w:noProof/>
                <w:webHidden/>
              </w:rPr>
              <w:fldChar w:fldCharType="separate"/>
            </w:r>
            <w:r>
              <w:rPr>
                <w:noProof/>
                <w:webHidden/>
              </w:rPr>
              <w:t>60</w:t>
            </w:r>
            <w:r>
              <w:rPr>
                <w:noProof/>
                <w:webHidden/>
              </w:rPr>
              <w:fldChar w:fldCharType="end"/>
            </w:r>
          </w:hyperlink>
        </w:p>
        <w:p w:rsidR="00FA0952" w:rsidRDefault="00FA0952">
          <w:r>
            <w:rPr>
              <w:b/>
              <w:bCs/>
              <w:noProof/>
            </w:rPr>
            <w:fldChar w:fldCharType="end"/>
          </w:r>
        </w:p>
      </w:sdtContent>
    </w:sdt>
    <w:p w:rsidR="00FA0952" w:rsidRPr="00FA0952" w:rsidRDefault="00FA0952" w:rsidP="00FA0952"/>
    <w:p w:rsidR="00AE23C4" w:rsidRDefault="007D7798" w:rsidP="00AE23C4">
      <w:pPr>
        <w:pStyle w:val="Heading1"/>
      </w:pPr>
      <w:r>
        <w:br w:type="column"/>
      </w:r>
      <w:bookmarkStart w:id="4" w:name="_Toc466207331"/>
      <w:bookmarkStart w:id="5" w:name="_GoBack"/>
      <w:bookmarkEnd w:id="5"/>
      <w:r w:rsidR="00AE23C4">
        <w:lastRenderedPageBreak/>
        <w:t>Abbreviations</w:t>
      </w:r>
      <w:bookmarkEnd w:id="1"/>
      <w:bookmarkEnd w:id="2"/>
      <w:bookmarkEnd w:id="4"/>
    </w:p>
    <w:p w:rsidR="00AE23C4" w:rsidRPr="00EF5099" w:rsidRDefault="00AE23C4" w:rsidP="00AE23C4">
      <w:pPr>
        <w:pStyle w:val="NoSpacing"/>
      </w:pPr>
    </w:p>
    <w:p w:rsidR="002A0B83" w:rsidRDefault="002A0B83" w:rsidP="00AE23C4">
      <w:pPr>
        <w:pStyle w:val="NoSpacing"/>
        <w:tabs>
          <w:tab w:val="left" w:pos="1134"/>
        </w:tabs>
      </w:pPr>
      <w:r>
        <w:t>AC</w:t>
      </w:r>
      <w:r>
        <w:tab/>
        <w:t>Air Conditioning</w:t>
      </w:r>
    </w:p>
    <w:p w:rsidR="00AE23C4" w:rsidRDefault="00AE23C4" w:rsidP="00AE23C4">
      <w:pPr>
        <w:pStyle w:val="NoSpacing"/>
        <w:tabs>
          <w:tab w:val="left" w:pos="1134"/>
        </w:tabs>
      </w:pPr>
      <w:r>
        <w:t>ADB</w:t>
      </w:r>
      <w:r>
        <w:tab/>
        <w:t>Asian Development Bank</w:t>
      </w:r>
    </w:p>
    <w:p w:rsidR="00AE23C4" w:rsidRPr="00AE23C4" w:rsidRDefault="00AE23C4" w:rsidP="00AE23C4">
      <w:pPr>
        <w:pStyle w:val="NoSpacing"/>
        <w:tabs>
          <w:tab w:val="left" w:pos="1134"/>
        </w:tabs>
      </w:pPr>
      <w:r w:rsidRPr="00AE23C4">
        <w:t>BAU</w:t>
      </w:r>
      <w:r w:rsidRPr="00AE23C4">
        <w:tab/>
        <w:t>Business as Usual</w:t>
      </w:r>
    </w:p>
    <w:p w:rsidR="00AE23C4" w:rsidRDefault="00AE23C4" w:rsidP="00AE23C4">
      <w:pPr>
        <w:pStyle w:val="NoSpacing"/>
        <w:tabs>
          <w:tab w:val="left" w:pos="1134"/>
        </w:tabs>
      </w:pPr>
      <w:r>
        <w:t>BC</w:t>
      </w:r>
      <w:r>
        <w:tab/>
        <w:t>Black Carbon</w:t>
      </w:r>
    </w:p>
    <w:p w:rsidR="002A0B83" w:rsidRDefault="002A0B83" w:rsidP="00AE23C4">
      <w:pPr>
        <w:pStyle w:val="NoSpacing"/>
        <w:tabs>
          <w:tab w:val="left" w:pos="1134"/>
        </w:tabs>
      </w:pPr>
      <w:r>
        <w:t>BR</w:t>
      </w:r>
      <w:r>
        <w:tab/>
        <w:t>Bangladesh Railway</w:t>
      </w:r>
    </w:p>
    <w:p w:rsidR="002A0B83" w:rsidRDefault="002A0B83" w:rsidP="00AE23C4">
      <w:pPr>
        <w:pStyle w:val="NoSpacing"/>
        <w:tabs>
          <w:tab w:val="left" w:pos="1134"/>
        </w:tabs>
      </w:pPr>
      <w:r>
        <w:t>BRT</w:t>
      </w:r>
      <w:r>
        <w:tab/>
        <w:t>Bus Rapid Transit</w:t>
      </w:r>
    </w:p>
    <w:p w:rsidR="00BE3F41" w:rsidRDefault="00BE3F41" w:rsidP="00AE23C4">
      <w:pPr>
        <w:pStyle w:val="NoSpacing"/>
        <w:tabs>
          <w:tab w:val="left" w:pos="1134"/>
        </w:tabs>
      </w:pPr>
      <w:r>
        <w:t>BRTA</w:t>
      </w:r>
      <w:r>
        <w:tab/>
        <w:t>Bangladesh Road Transport Authority</w:t>
      </w:r>
    </w:p>
    <w:p w:rsidR="00AE23C4" w:rsidRDefault="00AE23C4" w:rsidP="00AE23C4">
      <w:pPr>
        <w:pStyle w:val="NoSpacing"/>
        <w:tabs>
          <w:tab w:val="left" w:pos="1134"/>
        </w:tabs>
      </w:pPr>
      <w:r>
        <w:t>BUR</w:t>
      </w:r>
      <w:r>
        <w:tab/>
        <w:t>Biennial Update Reports</w:t>
      </w:r>
    </w:p>
    <w:p w:rsidR="002A0B83" w:rsidRDefault="002A0B83" w:rsidP="00AE23C4">
      <w:pPr>
        <w:pStyle w:val="NoSpacing"/>
        <w:tabs>
          <w:tab w:val="left" w:pos="1134"/>
        </w:tabs>
      </w:pPr>
      <w:r>
        <w:t>CDM</w:t>
      </w:r>
      <w:r>
        <w:tab/>
        <w:t>Clean Development Mechanism</w:t>
      </w:r>
    </w:p>
    <w:p w:rsidR="002A0B83" w:rsidRDefault="002A0B83" w:rsidP="00AE23C4">
      <w:pPr>
        <w:pStyle w:val="NoSpacing"/>
        <w:tabs>
          <w:tab w:val="left" w:pos="1134"/>
        </w:tabs>
      </w:pPr>
      <w:r>
        <w:t>CNG</w:t>
      </w:r>
      <w:r>
        <w:tab/>
        <w:t>Compressed Natural Gas</w:t>
      </w:r>
    </w:p>
    <w:p w:rsidR="00BE3F41" w:rsidRDefault="00BE3F41" w:rsidP="00AE23C4">
      <w:pPr>
        <w:pStyle w:val="NoSpacing"/>
        <w:tabs>
          <w:tab w:val="left" w:pos="1134"/>
        </w:tabs>
      </w:pPr>
      <w:r>
        <w:t>DOE</w:t>
      </w:r>
      <w:r>
        <w:tab/>
        <w:t>Designated Operational Entity</w:t>
      </w:r>
    </w:p>
    <w:p w:rsidR="00AE23C4" w:rsidRPr="00D446DE" w:rsidRDefault="00AE23C4" w:rsidP="00AE23C4">
      <w:pPr>
        <w:pStyle w:val="NoSpacing"/>
        <w:tabs>
          <w:tab w:val="left" w:pos="1134"/>
        </w:tabs>
      </w:pPr>
      <w:r>
        <w:t>EF</w:t>
      </w:r>
      <w:r w:rsidRPr="00D446DE">
        <w:tab/>
        <w:t>Emission Factor</w:t>
      </w:r>
    </w:p>
    <w:p w:rsidR="002A0B83" w:rsidRDefault="002A0B83" w:rsidP="00AE23C4">
      <w:pPr>
        <w:pStyle w:val="NoSpacing"/>
        <w:tabs>
          <w:tab w:val="left" w:pos="1134"/>
        </w:tabs>
      </w:pPr>
      <w:r>
        <w:t>GCF</w:t>
      </w:r>
      <w:r>
        <w:tab/>
        <w:t>Green Climate Fund</w:t>
      </w:r>
    </w:p>
    <w:p w:rsidR="002A0B83" w:rsidRPr="00D446DE" w:rsidRDefault="002A0B83" w:rsidP="00AE23C4">
      <w:pPr>
        <w:pStyle w:val="NoSpacing"/>
        <w:tabs>
          <w:tab w:val="left" w:pos="1134"/>
        </w:tabs>
      </w:pPr>
      <w:r>
        <w:t>GDP</w:t>
      </w:r>
      <w:r>
        <w:tab/>
        <w:t>Gross Domestic Product</w:t>
      </w:r>
    </w:p>
    <w:p w:rsidR="002A0B83" w:rsidRDefault="002A0B83" w:rsidP="002A0B83">
      <w:pPr>
        <w:pStyle w:val="NoSpacing"/>
        <w:tabs>
          <w:tab w:val="left" w:pos="1134"/>
        </w:tabs>
      </w:pPr>
      <w:r w:rsidRPr="00D446DE">
        <w:t>GHG</w:t>
      </w:r>
      <w:r w:rsidRPr="00D446DE">
        <w:tab/>
        <w:t>Greenhouse Gases</w:t>
      </w:r>
    </w:p>
    <w:p w:rsidR="00AE23C4" w:rsidRDefault="00AE23C4" w:rsidP="00AE23C4">
      <w:pPr>
        <w:pStyle w:val="NoSpacing"/>
        <w:tabs>
          <w:tab w:val="left" w:pos="1134"/>
        </w:tabs>
      </w:pPr>
      <w:r w:rsidRPr="00D446DE">
        <w:t>GWP</w:t>
      </w:r>
      <w:r w:rsidRPr="00D446DE">
        <w:tab/>
        <w:t xml:space="preserve">Global </w:t>
      </w:r>
      <w:r>
        <w:t>Warming Potential</w:t>
      </w:r>
    </w:p>
    <w:p w:rsidR="00BE3F41" w:rsidRDefault="00BE3F41" w:rsidP="00AE23C4">
      <w:pPr>
        <w:pStyle w:val="NoSpacing"/>
        <w:tabs>
          <w:tab w:val="left" w:pos="1134"/>
        </w:tabs>
      </w:pPr>
      <w:r>
        <w:t>HDV</w:t>
      </w:r>
      <w:r>
        <w:tab/>
        <w:t>Heavy Duty Vehicle</w:t>
      </w:r>
    </w:p>
    <w:p w:rsidR="00AE23C4" w:rsidRPr="003413E6" w:rsidRDefault="00AE23C4" w:rsidP="00AE23C4">
      <w:pPr>
        <w:pStyle w:val="NoSpacing"/>
        <w:tabs>
          <w:tab w:val="left" w:pos="1134"/>
        </w:tabs>
      </w:pPr>
      <w:r w:rsidRPr="003413E6">
        <w:t>IEA</w:t>
      </w:r>
      <w:r>
        <w:tab/>
        <w:t>International Energy Agency</w:t>
      </w:r>
    </w:p>
    <w:p w:rsidR="00AE23C4" w:rsidRDefault="00AE23C4" w:rsidP="00AE23C4">
      <w:pPr>
        <w:pStyle w:val="NoSpacing"/>
        <w:tabs>
          <w:tab w:val="left" w:pos="1134"/>
        </w:tabs>
      </w:pPr>
      <w:r>
        <w:t>INDC</w:t>
      </w:r>
      <w:r>
        <w:tab/>
        <w:t>Intended Nationally Determined Contribution</w:t>
      </w:r>
    </w:p>
    <w:p w:rsidR="00AE23C4" w:rsidRPr="003413E6" w:rsidRDefault="00AE23C4" w:rsidP="00AE23C4">
      <w:pPr>
        <w:pStyle w:val="NoSpacing"/>
        <w:tabs>
          <w:tab w:val="left" w:pos="1134"/>
        </w:tabs>
      </w:pPr>
      <w:r w:rsidRPr="003413E6">
        <w:t>IPCC</w:t>
      </w:r>
      <w:r>
        <w:tab/>
        <w:t>Intergovernmental Panel on Climate Change</w:t>
      </w:r>
    </w:p>
    <w:p w:rsidR="002A0B83" w:rsidRDefault="002A0B83" w:rsidP="00AE23C4">
      <w:pPr>
        <w:pStyle w:val="NoSpacing"/>
        <w:tabs>
          <w:tab w:val="left" w:pos="1134"/>
        </w:tabs>
      </w:pPr>
      <w:r>
        <w:t>MOEF</w:t>
      </w:r>
      <w:r>
        <w:tab/>
        <w:t>Ministry of Environment and Forests</w:t>
      </w:r>
    </w:p>
    <w:p w:rsidR="002A0B83" w:rsidRDefault="002A0B83" w:rsidP="00AE23C4">
      <w:pPr>
        <w:pStyle w:val="NoSpacing"/>
        <w:tabs>
          <w:tab w:val="left" w:pos="1134"/>
        </w:tabs>
      </w:pPr>
      <w:r>
        <w:t>MRTS</w:t>
      </w:r>
      <w:r>
        <w:tab/>
        <w:t>Mass Rapid Transit System</w:t>
      </w:r>
    </w:p>
    <w:p w:rsidR="00BE3F41" w:rsidRDefault="00BE3F41" w:rsidP="00AE23C4">
      <w:pPr>
        <w:pStyle w:val="NoSpacing"/>
        <w:tabs>
          <w:tab w:val="left" w:pos="1134"/>
        </w:tabs>
      </w:pPr>
      <w:r>
        <w:t>MRV</w:t>
      </w:r>
      <w:r>
        <w:tab/>
        <w:t>Monitoring, Reporting, Verification</w:t>
      </w:r>
    </w:p>
    <w:p w:rsidR="00AE23C4" w:rsidRDefault="00AE23C4" w:rsidP="00AE23C4">
      <w:pPr>
        <w:pStyle w:val="NoSpacing"/>
        <w:tabs>
          <w:tab w:val="left" w:pos="1134"/>
        </w:tabs>
      </w:pPr>
      <w:r>
        <w:t>NAMA</w:t>
      </w:r>
      <w:r>
        <w:tab/>
      </w:r>
      <w:r w:rsidRPr="00DD2F85">
        <w:t>Nationally Appropriate Mitigation Actions</w:t>
      </w:r>
    </w:p>
    <w:p w:rsidR="00AE23C4" w:rsidRDefault="00AE23C4" w:rsidP="00AE23C4">
      <w:pPr>
        <w:pStyle w:val="NoSpacing"/>
        <w:tabs>
          <w:tab w:val="left" w:pos="1134"/>
        </w:tabs>
      </w:pPr>
      <w:r>
        <w:t>NCV</w:t>
      </w:r>
      <w:r>
        <w:tab/>
        <w:t>Net Calorific Value</w:t>
      </w:r>
    </w:p>
    <w:p w:rsidR="00BE6A26" w:rsidRDefault="00BE6A26" w:rsidP="00AE23C4">
      <w:pPr>
        <w:pStyle w:val="NoSpacing"/>
        <w:tabs>
          <w:tab w:val="left" w:pos="1134"/>
        </w:tabs>
      </w:pPr>
      <w:r>
        <w:t>NDF</w:t>
      </w:r>
      <w:r>
        <w:tab/>
        <w:t>Nordic Development Fund</w:t>
      </w:r>
    </w:p>
    <w:p w:rsidR="00AE23C4" w:rsidRDefault="00AE23C4" w:rsidP="00AE23C4">
      <w:pPr>
        <w:pStyle w:val="NoSpacing"/>
        <w:tabs>
          <w:tab w:val="left" w:pos="1134"/>
        </w:tabs>
      </w:pPr>
      <w:r>
        <w:t>NPV</w:t>
      </w:r>
      <w:r>
        <w:tab/>
        <w:t>Net Present Value</w:t>
      </w:r>
    </w:p>
    <w:p w:rsidR="00BE3F41" w:rsidRDefault="00BE3F41" w:rsidP="00AE23C4">
      <w:pPr>
        <w:pStyle w:val="NoSpacing"/>
        <w:tabs>
          <w:tab w:val="left" w:pos="1134"/>
        </w:tabs>
      </w:pPr>
      <w:r>
        <w:t>OM</w:t>
      </w:r>
      <w:r>
        <w:tab/>
        <w:t>Operating Margin</w:t>
      </w:r>
    </w:p>
    <w:p w:rsidR="00BE3F41" w:rsidRPr="00F544A8" w:rsidRDefault="00BE3F41" w:rsidP="00AE23C4">
      <w:pPr>
        <w:pStyle w:val="NoSpacing"/>
        <w:tabs>
          <w:tab w:val="left" w:pos="1134"/>
        </w:tabs>
        <w:rPr>
          <w:lang w:val="fr-FR"/>
        </w:rPr>
      </w:pPr>
      <w:r w:rsidRPr="00F544A8">
        <w:rPr>
          <w:lang w:val="fr-FR"/>
        </w:rPr>
        <w:t>PCU</w:t>
      </w:r>
      <w:r w:rsidRPr="00F544A8">
        <w:rPr>
          <w:lang w:val="fr-FR"/>
        </w:rPr>
        <w:tab/>
        <w:t>Passenger Car Unit</w:t>
      </w:r>
    </w:p>
    <w:p w:rsidR="00AE23C4" w:rsidRPr="00F544A8" w:rsidRDefault="00AE23C4" w:rsidP="00AE23C4">
      <w:pPr>
        <w:pStyle w:val="NoSpacing"/>
        <w:tabs>
          <w:tab w:val="left" w:pos="1134"/>
        </w:tabs>
        <w:rPr>
          <w:lang w:val="fr-FR"/>
        </w:rPr>
      </w:pPr>
      <w:r w:rsidRPr="00F544A8">
        <w:rPr>
          <w:lang w:val="fr-FR"/>
        </w:rPr>
        <w:t>PM</w:t>
      </w:r>
      <w:r w:rsidRPr="00F544A8">
        <w:rPr>
          <w:lang w:val="fr-FR"/>
        </w:rPr>
        <w:tab/>
        <w:t>Particle Matter</w:t>
      </w:r>
    </w:p>
    <w:p w:rsidR="00AE23C4" w:rsidRPr="00F544A8" w:rsidRDefault="00AE23C4" w:rsidP="00AE23C4">
      <w:pPr>
        <w:pStyle w:val="NoSpacing"/>
        <w:tabs>
          <w:tab w:val="left" w:pos="1134"/>
        </w:tabs>
        <w:rPr>
          <w:lang w:val="de-DE"/>
        </w:rPr>
      </w:pPr>
      <w:r w:rsidRPr="00F544A8">
        <w:rPr>
          <w:lang w:val="de-DE"/>
        </w:rPr>
        <w:t>pkm</w:t>
      </w:r>
      <w:r w:rsidRPr="00F544A8">
        <w:rPr>
          <w:lang w:val="de-DE"/>
        </w:rPr>
        <w:tab/>
        <w:t>passenger-kilometre</w:t>
      </w:r>
    </w:p>
    <w:p w:rsidR="002A0B83" w:rsidRPr="00F544A8" w:rsidRDefault="002A0B83" w:rsidP="00AE23C4">
      <w:pPr>
        <w:pStyle w:val="NoSpacing"/>
        <w:tabs>
          <w:tab w:val="left" w:pos="1134"/>
        </w:tabs>
        <w:rPr>
          <w:lang w:val="de-DE"/>
        </w:rPr>
      </w:pPr>
      <w:r w:rsidRPr="00F544A8">
        <w:rPr>
          <w:lang w:val="de-DE"/>
        </w:rPr>
        <w:t>PT</w:t>
      </w:r>
      <w:r w:rsidRPr="00F544A8">
        <w:rPr>
          <w:lang w:val="de-DE"/>
        </w:rPr>
        <w:tab/>
        <w:t>Public Transport</w:t>
      </w:r>
    </w:p>
    <w:p w:rsidR="00AE23C4" w:rsidRDefault="00AE23C4" w:rsidP="00AE23C4">
      <w:pPr>
        <w:pStyle w:val="NoSpacing"/>
        <w:tabs>
          <w:tab w:val="left" w:pos="1134"/>
        </w:tabs>
      </w:pPr>
      <w:r>
        <w:t>QA</w:t>
      </w:r>
      <w:r>
        <w:tab/>
        <w:t>Quality Assurance</w:t>
      </w:r>
    </w:p>
    <w:p w:rsidR="00AE23C4" w:rsidRDefault="00AE23C4" w:rsidP="00AE23C4">
      <w:pPr>
        <w:pStyle w:val="NoSpacing"/>
        <w:tabs>
          <w:tab w:val="left" w:pos="1134"/>
        </w:tabs>
      </w:pPr>
      <w:r>
        <w:t>SCC</w:t>
      </w:r>
      <w:r>
        <w:tab/>
        <w:t>Social Cost of Carbon</w:t>
      </w:r>
    </w:p>
    <w:p w:rsidR="00AE23C4" w:rsidRDefault="00AE23C4" w:rsidP="00AE23C4">
      <w:pPr>
        <w:pStyle w:val="NoSpacing"/>
        <w:tabs>
          <w:tab w:val="left" w:pos="1134"/>
        </w:tabs>
      </w:pPr>
      <w:r>
        <w:t>SD</w:t>
      </w:r>
      <w:r>
        <w:tab/>
        <w:t>Sustainable Development</w:t>
      </w:r>
    </w:p>
    <w:p w:rsidR="00AE23C4" w:rsidRDefault="00AE23C4" w:rsidP="00AE23C4">
      <w:pPr>
        <w:pStyle w:val="NoSpacing"/>
        <w:tabs>
          <w:tab w:val="left" w:pos="1134"/>
        </w:tabs>
      </w:pPr>
      <w:r>
        <w:t>TA</w:t>
      </w:r>
      <w:r>
        <w:tab/>
        <w:t>Technical Assistance</w:t>
      </w:r>
    </w:p>
    <w:p w:rsidR="00AE23C4" w:rsidRDefault="00AE23C4" w:rsidP="00AE23C4">
      <w:pPr>
        <w:pStyle w:val="NoSpacing"/>
        <w:tabs>
          <w:tab w:val="left" w:pos="1134"/>
        </w:tabs>
      </w:pPr>
      <w:r>
        <w:t>tkm</w:t>
      </w:r>
      <w:r>
        <w:tab/>
        <w:t>Ton-kilometre</w:t>
      </w:r>
    </w:p>
    <w:p w:rsidR="00AE23C4" w:rsidRDefault="00AE23C4" w:rsidP="00AE23C4">
      <w:pPr>
        <w:pStyle w:val="NoSpacing"/>
        <w:tabs>
          <w:tab w:val="left" w:pos="1134"/>
        </w:tabs>
      </w:pPr>
      <w:r>
        <w:t>TTW</w:t>
      </w:r>
      <w:r>
        <w:tab/>
        <w:t>Tank-to-Wheel</w:t>
      </w:r>
    </w:p>
    <w:p w:rsidR="00AE23C4" w:rsidRDefault="00AE23C4" w:rsidP="00AE23C4">
      <w:pPr>
        <w:pStyle w:val="NoSpacing"/>
        <w:tabs>
          <w:tab w:val="left" w:pos="1134"/>
        </w:tabs>
      </w:pPr>
      <w:r>
        <w:t>UNFCCC</w:t>
      </w:r>
      <w:r>
        <w:tab/>
        <w:t>United Nations Framework Convention for Climate Change</w:t>
      </w:r>
    </w:p>
    <w:p w:rsidR="00AE23C4" w:rsidRDefault="00AE23C4" w:rsidP="00AE23C4">
      <w:pPr>
        <w:pStyle w:val="NoSpacing"/>
        <w:tabs>
          <w:tab w:val="left" w:pos="1134"/>
        </w:tabs>
      </w:pPr>
      <w:r>
        <w:t>WTT</w:t>
      </w:r>
      <w:r>
        <w:tab/>
        <w:t>Well to Tank</w:t>
      </w:r>
    </w:p>
    <w:p w:rsidR="00AE23C4" w:rsidRPr="00B44525" w:rsidRDefault="00AE23C4" w:rsidP="00AE23C4">
      <w:pPr>
        <w:pStyle w:val="NoSpacing"/>
        <w:tabs>
          <w:tab w:val="left" w:pos="1134"/>
        </w:tabs>
      </w:pPr>
      <w:r>
        <w:t>WTW</w:t>
      </w:r>
      <w:r>
        <w:tab/>
        <w:t>Well-to-Wheel</w:t>
      </w:r>
    </w:p>
    <w:p w:rsidR="00AE23C4" w:rsidRDefault="00AE23C4"/>
    <w:p w:rsidR="00AE23C4" w:rsidRDefault="00AE23C4" w:rsidP="007D7798">
      <w:pPr>
        <w:pStyle w:val="Heading1"/>
      </w:pPr>
    </w:p>
    <w:p w:rsidR="00AE23C4" w:rsidRDefault="007D7798" w:rsidP="00AE23C4">
      <w:pPr>
        <w:pStyle w:val="Heading1"/>
      </w:pPr>
      <w:r>
        <w:br w:type="column"/>
      </w:r>
      <w:bookmarkStart w:id="6" w:name="_Toc466207332"/>
      <w:r w:rsidR="00AE23C4">
        <w:lastRenderedPageBreak/>
        <w:t>Summary</w:t>
      </w:r>
      <w:bookmarkEnd w:id="6"/>
    </w:p>
    <w:p w:rsidR="00AE23C4" w:rsidRDefault="00AE23C4" w:rsidP="00AE23C4"/>
    <w:p w:rsidR="00EB0AB3" w:rsidRDefault="00EB0AB3" w:rsidP="00EB0AB3">
      <w:pPr>
        <w:jc w:val="both"/>
      </w:pPr>
      <w:r>
        <w:t xml:space="preserve">1. </w:t>
      </w:r>
      <w:r w:rsidRPr="00EB0AB3">
        <w:rPr>
          <w:b/>
        </w:rPr>
        <w:t>GHG emissions of Bangladesh</w:t>
      </w:r>
      <w:r w:rsidRPr="003317EC">
        <w:t xml:space="preserve"> in 2011 of the power, industrial and transport sector were 64 MtCO</w:t>
      </w:r>
      <w:r w:rsidRPr="003317EC">
        <w:rPr>
          <w:vertAlign w:val="subscript"/>
        </w:rPr>
        <w:t>2e</w:t>
      </w:r>
      <w:r w:rsidRPr="003317EC">
        <w:t xml:space="preserve"> and are expected to increase under Business as Usual (BAU) by 2030 to 234 MtCO</w:t>
      </w:r>
      <w:r w:rsidRPr="003317EC">
        <w:rPr>
          <w:vertAlign w:val="subscript"/>
        </w:rPr>
        <w:t>2e</w:t>
      </w:r>
      <w:r w:rsidRPr="003317EC">
        <w:t xml:space="preserve"> representing 69% of total estimated emissions of 339 MtCO</w:t>
      </w:r>
      <w:r w:rsidRPr="003317EC">
        <w:rPr>
          <w:vertAlign w:val="subscript"/>
        </w:rPr>
        <w:t>2e</w:t>
      </w:r>
      <w:r w:rsidRPr="003317EC">
        <w:t xml:space="preserve">. </w:t>
      </w:r>
      <w:r>
        <w:t>T</w:t>
      </w:r>
      <w:r w:rsidRPr="00EB0AB3">
        <w:t xml:space="preserve">ransport emissions </w:t>
      </w:r>
      <w:r>
        <w:t xml:space="preserve">are projected to increase from </w:t>
      </w:r>
      <w:r w:rsidRPr="00EB0AB3">
        <w:t>5.5 MtCO</w:t>
      </w:r>
      <w:r w:rsidRPr="00EB0AB3">
        <w:rPr>
          <w:vertAlign w:val="subscript"/>
        </w:rPr>
        <w:t>2</w:t>
      </w:r>
      <w:r>
        <w:rPr>
          <w:vertAlign w:val="subscript"/>
        </w:rPr>
        <w:t xml:space="preserve"> </w:t>
      </w:r>
      <w:r w:rsidRPr="00EB0AB3">
        <w:t>in the year 2005</w:t>
      </w:r>
      <w:r w:rsidRPr="00EB0AB3">
        <w:rPr>
          <w:vertAlign w:val="subscript"/>
        </w:rPr>
        <w:t xml:space="preserve"> </w:t>
      </w:r>
      <w:r>
        <w:t>to 11 MtCO</w:t>
      </w:r>
      <w:r w:rsidRPr="00EB0AB3">
        <w:rPr>
          <w:vertAlign w:val="subscript"/>
        </w:rPr>
        <w:t>2e</w:t>
      </w:r>
      <w:r>
        <w:t xml:space="preserve"> in 2014 to 37 MtCO</w:t>
      </w:r>
      <w:r w:rsidRPr="00EB0AB3">
        <w:rPr>
          <w:vertAlign w:val="subscript"/>
        </w:rPr>
        <w:t>2e</w:t>
      </w:r>
      <w:r>
        <w:t xml:space="preserve"> in 2030.</w:t>
      </w:r>
    </w:p>
    <w:p w:rsidR="00EB0AB3" w:rsidRDefault="00EB0AB3" w:rsidP="00EB0AB3">
      <w:pPr>
        <w:jc w:val="both"/>
      </w:pPr>
      <w:r>
        <w:t xml:space="preserve">2. </w:t>
      </w:r>
      <w:r w:rsidRPr="003317EC">
        <w:t xml:space="preserve">Bangladesh’s </w:t>
      </w:r>
      <w:r w:rsidRPr="003317EC">
        <w:rPr>
          <w:b/>
        </w:rPr>
        <w:t>Intended Nationally Determined Contribution</w:t>
      </w:r>
      <w:r>
        <w:rPr>
          <w:b/>
        </w:rPr>
        <w:t xml:space="preserve"> </w:t>
      </w:r>
      <w:r w:rsidRPr="00990CF2">
        <w:t>of 2015</w:t>
      </w:r>
      <w:r w:rsidRPr="003317EC">
        <w:t xml:space="preserve"> has as unconditional contribution a reduction of GHG emissions compared to BAU by 2030 of 5% in the power, transport and industry </w:t>
      </w:r>
      <w:r w:rsidRPr="00EB0AB3">
        <w:t>sectors. Within the INDC modal shift from road to rail is an important mitigation strategy. The National Sustainable Development Strategy of 2013 includes improvement of railway linkages as transport strategy with a potential to mitigate GHG emissions. The Perspective Plan of Bangladesh 2010-2021 of 2012 includes expansion and improvement of the railway system to increase the market share of freight and passenger transport of rail. The Railway Master Plan focuses</w:t>
      </w:r>
      <w:r>
        <w:t xml:space="preserve"> its attention on the main corridors to regain lost market share and improve its competitive position versus road. The national climate change policies, development strategies and the relevant transport strategies all point to the importance of developing further rail transport. </w:t>
      </w:r>
    </w:p>
    <w:p w:rsidR="00EB0AB3" w:rsidRDefault="00EB0AB3" w:rsidP="00EB0AB3">
      <w:pPr>
        <w:jc w:val="both"/>
      </w:pPr>
      <w:r>
        <w:t xml:space="preserve">3. </w:t>
      </w:r>
      <w:r w:rsidRPr="00EB0AB3">
        <w:rPr>
          <w:b/>
        </w:rPr>
        <w:t>Bangladesh Railway</w:t>
      </w:r>
      <w:r>
        <w:t xml:space="preserve"> has as of 2016 a network of 2,880 km of routes. </w:t>
      </w:r>
      <w:r w:rsidRPr="003317EC">
        <w:t xml:space="preserve">Road has become the dominant mode of transport with </w:t>
      </w:r>
      <w:r>
        <w:t>nearly 90% of passenger transport</w:t>
      </w:r>
      <w:r w:rsidRPr="003317EC">
        <w:t xml:space="preserve"> in the year 2006 w</w:t>
      </w:r>
      <w:r>
        <w:t xml:space="preserve">ith rail only accounting for 4% whilst </w:t>
      </w:r>
      <w:r w:rsidRPr="003317EC">
        <w:t>19</w:t>
      </w:r>
      <w:r>
        <w:t>76 the rail share was still 30%</w:t>
      </w:r>
      <w:r w:rsidRPr="003317EC">
        <w:t xml:space="preserve">. In the freight sector a similar </w:t>
      </w:r>
      <w:r>
        <w:t xml:space="preserve">trend </w:t>
      </w:r>
      <w:r w:rsidRPr="003317EC">
        <w:t>can be observed with 80% of tkm being transported by road and 4% by rail. Also here 1976 the rail share was much higher with 28%.</w:t>
      </w:r>
    </w:p>
    <w:p w:rsidR="00EB0AB3" w:rsidRDefault="009E4FD7" w:rsidP="00EB0AB3">
      <w:pPr>
        <w:jc w:val="both"/>
      </w:pPr>
      <w:r>
        <w:t xml:space="preserve">4. </w:t>
      </w:r>
      <w:r w:rsidR="00EB0AB3">
        <w:t xml:space="preserve">The overall </w:t>
      </w:r>
      <w:r w:rsidR="00EB0AB3" w:rsidRPr="009E4FD7">
        <w:rPr>
          <w:b/>
        </w:rPr>
        <w:t>objective of the NAMA</w:t>
      </w:r>
      <w:r w:rsidR="00EB0AB3">
        <w:t xml:space="preserve"> is to increase the role of railway in the transport sector of Bangladesh. This shall be realized through expansion of railway infrastructure and increased railway efficiency. The focus is on inter-city passengers and long-haul freight along specific corridors as these are the areas where rail is considered to have a potential competitive advantage</w:t>
      </w:r>
      <w:r>
        <w:t>.</w:t>
      </w:r>
    </w:p>
    <w:p w:rsidR="00EB0AB3" w:rsidRDefault="009E4FD7" w:rsidP="00EB0AB3">
      <w:pPr>
        <w:jc w:val="both"/>
      </w:pPr>
      <w:r>
        <w:t xml:space="preserve">5. </w:t>
      </w:r>
      <w:r w:rsidR="00EB0AB3">
        <w:t xml:space="preserve">The </w:t>
      </w:r>
      <w:r w:rsidR="00EB0AB3" w:rsidRPr="009E4FD7">
        <w:rPr>
          <w:b/>
        </w:rPr>
        <w:t>NAMA transformational change</w:t>
      </w:r>
      <w:r w:rsidR="00EB0AB3">
        <w:t xml:space="preserve"> is towards reverting the trend for decreasing rail importance in long-haul passenger and freight transport in Bangladesh thereby fostering a low-carbon transport solution.</w:t>
      </w:r>
    </w:p>
    <w:p w:rsidR="00EB0AB3" w:rsidRPr="009E4FD7" w:rsidRDefault="009E4FD7" w:rsidP="00EB0AB3">
      <w:pPr>
        <w:jc w:val="both"/>
      </w:pPr>
      <w:r>
        <w:t xml:space="preserve">6. </w:t>
      </w:r>
      <w:r w:rsidR="00EB0AB3">
        <w:t xml:space="preserve">The </w:t>
      </w:r>
      <w:r w:rsidR="00EB0AB3" w:rsidRPr="009E4FD7">
        <w:rPr>
          <w:b/>
        </w:rPr>
        <w:t>scope</w:t>
      </w:r>
      <w:r>
        <w:t xml:space="preserve"> for the</w:t>
      </w:r>
      <w:r w:rsidR="00EB0AB3">
        <w:t xml:space="preserve"> NAMA is interurban passenger and freight transport within Bangladesh</w:t>
      </w:r>
      <w:r>
        <w:t>.</w:t>
      </w:r>
      <w:r w:rsidR="00EB0AB3" w:rsidRPr="00C46CB9">
        <w:t xml:space="preserve"> </w:t>
      </w:r>
      <w:r w:rsidRPr="009E4FD7">
        <w:t>Greenhouse</w:t>
      </w:r>
      <w:r w:rsidR="00EB0AB3" w:rsidRPr="009E4FD7">
        <w:t xml:space="preserve"> gases</w:t>
      </w:r>
      <w:r>
        <w:t xml:space="preserve"> included are </w:t>
      </w:r>
      <w:r w:rsidR="00EB0AB3" w:rsidRPr="009E4FD7">
        <w:t>CO</w:t>
      </w:r>
      <w:r w:rsidR="00EB0AB3" w:rsidRPr="009E4FD7">
        <w:rPr>
          <w:vertAlign w:val="subscript"/>
        </w:rPr>
        <w:t>2</w:t>
      </w:r>
      <w:r w:rsidR="00EB0AB3" w:rsidRPr="009E4FD7">
        <w:t xml:space="preserve"> </w:t>
      </w:r>
      <w:r>
        <w:t xml:space="preserve">and </w:t>
      </w:r>
      <w:r w:rsidR="00EB0AB3" w:rsidRPr="00256D11">
        <w:t>B</w:t>
      </w:r>
      <w:r>
        <w:t>lack Carbon (BC). A separation is made in direct emissions arising from fossil fuel combustion and indirect emissions from upstream fuel</w:t>
      </w:r>
      <w:r w:rsidR="00EB0AB3" w:rsidRPr="00256D11">
        <w:t xml:space="preserve"> fossil fuel extraction, refinery and transport </w:t>
      </w:r>
      <w:r>
        <w:t>both of which are calculated.</w:t>
      </w:r>
    </w:p>
    <w:p w:rsidR="00EB0AB3" w:rsidRDefault="009E4FD7" w:rsidP="00EB0AB3">
      <w:pPr>
        <w:jc w:val="both"/>
      </w:pPr>
      <w:r>
        <w:t>7. T</w:t>
      </w:r>
      <w:r w:rsidR="00EB0AB3">
        <w:t xml:space="preserve">he major </w:t>
      </w:r>
      <w:r w:rsidRPr="009E4FD7">
        <w:rPr>
          <w:b/>
        </w:rPr>
        <w:t xml:space="preserve">cause </w:t>
      </w:r>
      <w:r w:rsidR="00EB0AB3" w:rsidRPr="009E4FD7">
        <w:rPr>
          <w:b/>
        </w:rPr>
        <w:t xml:space="preserve">of the </w:t>
      </w:r>
      <w:r w:rsidRPr="009E4FD7">
        <w:rPr>
          <w:b/>
        </w:rPr>
        <w:t>GHG impact</w:t>
      </w:r>
      <w:r>
        <w:t xml:space="preserve"> of the </w:t>
      </w:r>
      <w:r w:rsidR="00EB0AB3">
        <w:t>rail investment programme is towards mode-shift from high emitting transport means towards low emitting transport means. The mitigation impact is a resultant of differential GHG emission factors per pkm and tkm of rail versus road transport as can be seen from the following graph.</w:t>
      </w:r>
    </w:p>
    <w:p w:rsidR="00EB0AB3" w:rsidRPr="009E4FD7" w:rsidRDefault="009E4FD7" w:rsidP="009E4FD7">
      <w:pPr>
        <w:pStyle w:val="NoSpacing"/>
        <w:rPr>
          <w:b/>
          <w:sz w:val="20"/>
        </w:rPr>
      </w:pPr>
      <w:r>
        <w:rPr>
          <w:b/>
          <w:sz w:val="20"/>
        </w:rPr>
        <w:br w:type="column"/>
      </w:r>
      <w:r w:rsidRPr="009E4FD7">
        <w:rPr>
          <w:b/>
          <w:sz w:val="20"/>
        </w:rPr>
        <w:lastRenderedPageBreak/>
        <w:t xml:space="preserve">Figure </w:t>
      </w:r>
      <w:r w:rsidRPr="009E4FD7">
        <w:rPr>
          <w:b/>
          <w:sz w:val="20"/>
        </w:rPr>
        <w:fldChar w:fldCharType="begin"/>
      </w:r>
      <w:r w:rsidRPr="009E4FD7">
        <w:rPr>
          <w:b/>
          <w:sz w:val="20"/>
        </w:rPr>
        <w:instrText xml:space="preserve"> SEQ Figure \* ARABIC </w:instrText>
      </w:r>
      <w:r w:rsidRPr="009E4FD7">
        <w:rPr>
          <w:b/>
          <w:sz w:val="20"/>
        </w:rPr>
        <w:fldChar w:fldCharType="separate"/>
      </w:r>
      <w:r w:rsidR="00AC6EDE">
        <w:rPr>
          <w:b/>
          <w:noProof/>
          <w:sz w:val="20"/>
        </w:rPr>
        <w:t>1</w:t>
      </w:r>
      <w:r w:rsidRPr="009E4FD7">
        <w:rPr>
          <w:b/>
          <w:sz w:val="20"/>
        </w:rPr>
        <w:fldChar w:fldCharType="end"/>
      </w:r>
      <w:r w:rsidR="00EB0AB3" w:rsidRPr="009E4FD7">
        <w:rPr>
          <w:b/>
          <w:sz w:val="20"/>
        </w:rPr>
        <w:t>: Emission Factor per pkm and per tkm Road versus Rail, Bangladesh 2015 (gCO</w:t>
      </w:r>
      <w:r w:rsidR="00EB0AB3" w:rsidRPr="009E4FD7">
        <w:rPr>
          <w:b/>
          <w:sz w:val="20"/>
          <w:vertAlign w:val="subscript"/>
        </w:rPr>
        <w:t>2</w:t>
      </w:r>
      <w:r w:rsidR="00EB0AB3" w:rsidRPr="009E4FD7">
        <w:rPr>
          <w:b/>
          <w:sz w:val="20"/>
        </w:rPr>
        <w:t>, TTW)</w:t>
      </w:r>
    </w:p>
    <w:p w:rsidR="00EB0AB3" w:rsidRPr="007E2FCA" w:rsidRDefault="00EB0AB3" w:rsidP="00EB0AB3">
      <w:pPr>
        <w:pStyle w:val="NoSpacing"/>
        <w:rPr>
          <w:sz w:val="20"/>
        </w:rPr>
      </w:pPr>
      <w:r w:rsidRPr="007E2FCA">
        <w:rPr>
          <w:noProof/>
          <w:sz w:val="20"/>
          <w:lang w:eastAsia="en-GB"/>
        </w:rPr>
        <w:drawing>
          <wp:inline distT="0" distB="0" distL="0" distR="0" wp14:anchorId="19024666" wp14:editId="07537F24">
            <wp:extent cx="4572000" cy="2743200"/>
            <wp:effectExtent l="0" t="0" r="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9E4FD7" w:rsidRDefault="009E4FD7" w:rsidP="00EB0AB3">
      <w:pPr>
        <w:jc w:val="both"/>
      </w:pPr>
    </w:p>
    <w:p w:rsidR="00EB0AB3" w:rsidRDefault="009E4FD7" w:rsidP="009E4FD7">
      <w:pPr>
        <w:jc w:val="both"/>
      </w:pPr>
      <w:r>
        <w:t xml:space="preserve">8. </w:t>
      </w:r>
      <w:r w:rsidR="00EB0AB3">
        <w:t xml:space="preserve">The </w:t>
      </w:r>
      <w:r w:rsidR="00EB0AB3" w:rsidRPr="009E4FD7">
        <w:rPr>
          <w:b/>
        </w:rPr>
        <w:t>GHG mitigation impact</w:t>
      </w:r>
      <w:r w:rsidR="00EB0AB3">
        <w:t xml:space="preserve"> increases over time due to gradual implementation of the different actions planned. GHG reductions of </w:t>
      </w:r>
      <w:r>
        <w:t xml:space="preserve">around </w:t>
      </w:r>
      <w:r w:rsidR="00EB0AB3">
        <w:t>3 million tCO</w:t>
      </w:r>
      <w:r w:rsidR="00EB0AB3" w:rsidRPr="00DD60F5">
        <w:rPr>
          <w:vertAlign w:val="subscript"/>
        </w:rPr>
        <w:t>2e</w:t>
      </w:r>
      <w:r w:rsidR="00EB0AB3">
        <w:t xml:space="preserve"> can be achieved cumulative over the time period of 2017-2030 or around 450,000 tCO</w:t>
      </w:r>
      <w:r w:rsidR="00EB0AB3" w:rsidRPr="00DD60F5">
        <w:rPr>
          <w:vertAlign w:val="subscript"/>
        </w:rPr>
        <w:t>2e</w:t>
      </w:r>
      <w:r w:rsidR="00EB0AB3">
        <w:t xml:space="preserve"> per annum as of 2030. As the railway investments have a life-span of minimum 30 years the total impact over the technical life-span is estimated at 14 million tCO</w:t>
      </w:r>
      <w:r w:rsidR="00EB0AB3" w:rsidRPr="00DD60F5">
        <w:rPr>
          <w:vertAlign w:val="subscript"/>
        </w:rPr>
        <w:t>2e</w:t>
      </w:r>
      <w:r w:rsidR="00EB0AB3">
        <w:t xml:space="preserve"> avoided. 25% of the emission reductions are due to freight and 75% due to passenger movement. As of 2030 transport emissions could be reduced by around 1% relative to the INDC projected baseline.</w:t>
      </w:r>
    </w:p>
    <w:p w:rsidR="00EB0AB3" w:rsidRDefault="009E4FD7" w:rsidP="00EB0AB3">
      <w:pPr>
        <w:jc w:val="both"/>
      </w:pPr>
      <w:r>
        <w:t xml:space="preserve">9. </w:t>
      </w:r>
      <w:r w:rsidR="00EB0AB3">
        <w:t xml:space="preserve">The major </w:t>
      </w:r>
      <w:r w:rsidR="00EB0AB3" w:rsidRPr="009E4FD7">
        <w:rPr>
          <w:b/>
        </w:rPr>
        <w:t xml:space="preserve">indirect </w:t>
      </w:r>
      <w:r>
        <w:rPr>
          <w:b/>
        </w:rPr>
        <w:t xml:space="preserve">GHG </w:t>
      </w:r>
      <w:r w:rsidR="00EB0AB3" w:rsidRPr="009E4FD7">
        <w:rPr>
          <w:b/>
        </w:rPr>
        <w:t>emission</w:t>
      </w:r>
      <w:r w:rsidR="00EB0AB3">
        <w:t xml:space="preserve"> source apart from upstream fuel emissions for the baseline represent the road vehicle manufacturing emissions. These represent 80% of total indirect baseline emissions. Total indirect baseline emissions for the year 2030 represent 2.5% of total baseline GHG emissions W</w:t>
      </w:r>
      <w:r>
        <w:t>ell-to-Wheel</w:t>
      </w:r>
      <w:r w:rsidR="00EB0AB3">
        <w:t xml:space="preserve"> incl. B</w:t>
      </w:r>
      <w:r>
        <w:t xml:space="preserve">lack </w:t>
      </w:r>
      <w:r w:rsidR="00EB0AB3">
        <w:t>C</w:t>
      </w:r>
      <w:r>
        <w:t>arbon</w:t>
      </w:r>
      <w:r w:rsidR="00EB0AB3">
        <w:t xml:space="preserve"> i.e. are not</w:t>
      </w:r>
      <w:r>
        <w:t xml:space="preserve"> significant. </w:t>
      </w:r>
      <w:r w:rsidR="00EB0AB3">
        <w:t xml:space="preserve">The major indirect emission source apart from upstream fuel emissions for the NAMA scenario represent the rail construction emissions with 80% of total indirect emissions. Total indirect NAMA emissions for the year 2030 represent less than </w:t>
      </w:r>
      <w:r w:rsidR="00EB0AB3" w:rsidRPr="00EF75F1">
        <w:t>8%</w:t>
      </w:r>
      <w:r w:rsidR="00EB0AB3">
        <w:t xml:space="preserve"> of total N</w:t>
      </w:r>
      <w:r>
        <w:t xml:space="preserve">AMA GHG emissions Well-to-Wheel incl. Black Carbon. </w:t>
      </w:r>
      <w:r w:rsidR="00EB0AB3">
        <w:t>The net additional indirect GHG emissions are for the year 2030 4,000 tCO</w:t>
      </w:r>
      <w:r w:rsidR="00EB0AB3" w:rsidRPr="00EF75F1">
        <w:rPr>
          <w:vertAlign w:val="subscript"/>
        </w:rPr>
        <w:t>2</w:t>
      </w:r>
      <w:r w:rsidR="00EB0AB3">
        <w:t xml:space="preserve"> which represent less than 1% of projected emission reductions for the same year. This is marginal and therefore the indirect emissions are not further included with exception of the W</w:t>
      </w:r>
      <w:r>
        <w:t>ell-to-Tank fossil fuel emissions.</w:t>
      </w:r>
    </w:p>
    <w:p w:rsidR="00EB0AB3" w:rsidRDefault="009E4FD7" w:rsidP="00EB0AB3">
      <w:pPr>
        <w:jc w:val="both"/>
      </w:pPr>
      <w:r>
        <w:t xml:space="preserve">10. </w:t>
      </w:r>
      <w:r w:rsidR="00EB0AB3">
        <w:t xml:space="preserve">The following table shows the projected cumulative </w:t>
      </w:r>
      <w:r w:rsidR="00EB0AB3" w:rsidRPr="00144684">
        <w:rPr>
          <w:b/>
        </w:rPr>
        <w:t>S</w:t>
      </w:r>
      <w:r w:rsidRPr="00144684">
        <w:rPr>
          <w:b/>
        </w:rPr>
        <w:t xml:space="preserve">ustainable </w:t>
      </w:r>
      <w:r w:rsidR="00EB0AB3" w:rsidRPr="00144684">
        <w:rPr>
          <w:b/>
        </w:rPr>
        <w:t>D</w:t>
      </w:r>
      <w:r w:rsidRPr="00144684">
        <w:rPr>
          <w:b/>
        </w:rPr>
        <w:t>evelopment</w:t>
      </w:r>
      <w:r w:rsidR="00EB0AB3">
        <w:t xml:space="preserve"> impact for the NAMA for 2017-2030 using constant fuel prices and damage costs.</w:t>
      </w:r>
    </w:p>
    <w:p w:rsidR="00EB0AB3" w:rsidRPr="00F544A8" w:rsidRDefault="00F544A8" w:rsidP="00F544A8">
      <w:pPr>
        <w:pStyle w:val="NoSpacing"/>
        <w:rPr>
          <w:b/>
          <w:sz w:val="20"/>
        </w:rPr>
      </w:pPr>
      <w:r w:rsidRPr="00F544A8">
        <w:rPr>
          <w:b/>
          <w:sz w:val="20"/>
        </w:rPr>
        <w:t xml:space="preserve">Table </w:t>
      </w:r>
      <w:r w:rsidRPr="00F544A8">
        <w:rPr>
          <w:b/>
          <w:sz w:val="20"/>
        </w:rPr>
        <w:fldChar w:fldCharType="begin"/>
      </w:r>
      <w:r w:rsidRPr="00F544A8">
        <w:rPr>
          <w:b/>
          <w:sz w:val="20"/>
        </w:rPr>
        <w:instrText xml:space="preserve"> SEQ Table \* ARABIC </w:instrText>
      </w:r>
      <w:r w:rsidRPr="00F544A8">
        <w:rPr>
          <w:b/>
          <w:sz w:val="20"/>
        </w:rPr>
        <w:fldChar w:fldCharType="separate"/>
      </w:r>
      <w:r w:rsidR="00AC6EDE">
        <w:rPr>
          <w:b/>
          <w:noProof/>
          <w:sz w:val="20"/>
        </w:rPr>
        <w:t>1</w:t>
      </w:r>
      <w:r w:rsidRPr="00F544A8">
        <w:rPr>
          <w:b/>
          <w:sz w:val="20"/>
        </w:rPr>
        <w:fldChar w:fldCharType="end"/>
      </w:r>
      <w:r w:rsidRPr="00F544A8">
        <w:rPr>
          <w:b/>
          <w:sz w:val="20"/>
        </w:rPr>
        <w:t xml:space="preserve">: </w:t>
      </w:r>
      <w:r w:rsidR="00EB0AB3" w:rsidRPr="00F544A8">
        <w:rPr>
          <w:b/>
          <w:sz w:val="20"/>
        </w:rPr>
        <w:t>Projected Cumulative Sustainable Development Impact Period 2017-2030 (USD of 2015)</w:t>
      </w:r>
    </w:p>
    <w:tbl>
      <w:tblPr>
        <w:tblW w:w="0" w:type="auto"/>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firstRow="1" w:lastRow="0" w:firstColumn="1" w:lastColumn="0" w:noHBand="0" w:noVBand="1"/>
      </w:tblPr>
      <w:tblGrid>
        <w:gridCol w:w="4096"/>
        <w:gridCol w:w="2410"/>
      </w:tblGrid>
      <w:tr w:rsidR="00EB0AB3" w:rsidRPr="004B02E5" w:rsidTr="00100058">
        <w:tc>
          <w:tcPr>
            <w:tcW w:w="4096" w:type="dxa"/>
            <w:shd w:val="clear" w:color="auto" w:fill="C6D9F1"/>
            <w:hideMark/>
          </w:tcPr>
          <w:p w:rsidR="00EB0AB3" w:rsidRPr="004B02E5" w:rsidRDefault="00EB0AB3" w:rsidP="00100058">
            <w:pPr>
              <w:pStyle w:val="NoSpacing"/>
              <w:rPr>
                <w:b/>
                <w:sz w:val="20"/>
              </w:rPr>
            </w:pPr>
            <w:r w:rsidRPr="004B02E5">
              <w:rPr>
                <w:b/>
                <w:sz w:val="20"/>
              </w:rPr>
              <w:t>Parameter</w:t>
            </w:r>
          </w:p>
        </w:tc>
        <w:tc>
          <w:tcPr>
            <w:tcW w:w="2410" w:type="dxa"/>
            <w:shd w:val="clear" w:color="auto" w:fill="C6D9F1"/>
            <w:hideMark/>
          </w:tcPr>
          <w:p w:rsidR="00EB0AB3" w:rsidRPr="004B02E5" w:rsidRDefault="00EB0AB3" w:rsidP="00100058">
            <w:pPr>
              <w:pStyle w:val="NoSpacing"/>
              <w:jc w:val="center"/>
              <w:rPr>
                <w:b/>
                <w:sz w:val="20"/>
              </w:rPr>
            </w:pPr>
            <w:r>
              <w:rPr>
                <w:b/>
                <w:sz w:val="20"/>
              </w:rPr>
              <w:t xml:space="preserve">Impact </w:t>
            </w:r>
          </w:p>
        </w:tc>
      </w:tr>
      <w:tr w:rsidR="00EB0AB3" w:rsidRPr="004B02E5" w:rsidTr="00100058">
        <w:tc>
          <w:tcPr>
            <w:tcW w:w="4096" w:type="dxa"/>
            <w:shd w:val="clear" w:color="auto" w:fill="auto"/>
            <w:hideMark/>
          </w:tcPr>
          <w:p w:rsidR="00EB0AB3" w:rsidRPr="004B02E5" w:rsidRDefault="00EB0AB3" w:rsidP="00100058">
            <w:pPr>
              <w:pStyle w:val="NoSpacing"/>
              <w:rPr>
                <w:sz w:val="20"/>
                <w:lang w:val="de-DE"/>
              </w:rPr>
            </w:pPr>
            <w:r w:rsidRPr="004B02E5">
              <w:rPr>
                <w:sz w:val="20"/>
                <w:lang w:val="de-DE"/>
              </w:rPr>
              <w:t>Diesel fuel savings</w:t>
            </w:r>
          </w:p>
        </w:tc>
        <w:tc>
          <w:tcPr>
            <w:tcW w:w="2410" w:type="dxa"/>
            <w:shd w:val="clear" w:color="auto" w:fill="auto"/>
            <w:vAlign w:val="center"/>
          </w:tcPr>
          <w:p w:rsidR="00EB0AB3" w:rsidRPr="00B37D5D" w:rsidRDefault="00EB0AB3" w:rsidP="00100058">
            <w:pPr>
              <w:pStyle w:val="NoSpacing"/>
              <w:jc w:val="center"/>
              <w:rPr>
                <w:sz w:val="20"/>
              </w:rPr>
            </w:pPr>
            <w:r w:rsidRPr="00B37D5D">
              <w:rPr>
                <w:sz w:val="20"/>
                <w:lang w:val="de-DE"/>
              </w:rPr>
              <w:t>753</w:t>
            </w:r>
            <w:r>
              <w:rPr>
                <w:sz w:val="20"/>
                <w:lang w:val="de-DE"/>
              </w:rPr>
              <w:t xml:space="preserve"> million litres</w:t>
            </w:r>
          </w:p>
        </w:tc>
      </w:tr>
      <w:tr w:rsidR="00EB0AB3" w:rsidRPr="004B02E5" w:rsidTr="00100058">
        <w:tc>
          <w:tcPr>
            <w:tcW w:w="4096" w:type="dxa"/>
            <w:shd w:val="clear" w:color="auto" w:fill="auto"/>
          </w:tcPr>
          <w:p w:rsidR="00EB0AB3" w:rsidRPr="004B02E5" w:rsidRDefault="00EB0AB3" w:rsidP="00100058">
            <w:pPr>
              <w:pStyle w:val="NoSpacing"/>
              <w:rPr>
                <w:sz w:val="20"/>
              </w:rPr>
            </w:pPr>
            <w:r>
              <w:rPr>
                <w:sz w:val="20"/>
              </w:rPr>
              <w:t>Reduction of traffic accident fatalities</w:t>
            </w:r>
          </w:p>
        </w:tc>
        <w:tc>
          <w:tcPr>
            <w:tcW w:w="2410" w:type="dxa"/>
            <w:shd w:val="clear" w:color="auto" w:fill="auto"/>
            <w:vAlign w:val="center"/>
          </w:tcPr>
          <w:p w:rsidR="00EB0AB3" w:rsidRPr="00B37D5D" w:rsidRDefault="00EB0AB3" w:rsidP="00100058">
            <w:pPr>
              <w:pStyle w:val="NoSpacing"/>
              <w:jc w:val="center"/>
              <w:rPr>
                <w:sz w:val="20"/>
              </w:rPr>
            </w:pPr>
            <w:r>
              <w:rPr>
                <w:sz w:val="20"/>
              </w:rPr>
              <w:t>23</w:t>
            </w:r>
            <w:r w:rsidRPr="00B37D5D">
              <w:rPr>
                <w:sz w:val="20"/>
              </w:rPr>
              <w:t>5</w:t>
            </w:r>
            <w:r>
              <w:rPr>
                <w:sz w:val="20"/>
              </w:rPr>
              <w:t xml:space="preserve"> persons</w:t>
            </w:r>
          </w:p>
        </w:tc>
      </w:tr>
      <w:tr w:rsidR="00EB0AB3" w:rsidRPr="004B02E5" w:rsidTr="00100058">
        <w:tc>
          <w:tcPr>
            <w:tcW w:w="4096" w:type="dxa"/>
            <w:shd w:val="clear" w:color="auto" w:fill="auto"/>
            <w:hideMark/>
          </w:tcPr>
          <w:p w:rsidR="00EB0AB3" w:rsidRPr="004B02E5" w:rsidRDefault="00EB0AB3" w:rsidP="00100058">
            <w:pPr>
              <w:pStyle w:val="NoSpacing"/>
              <w:rPr>
                <w:sz w:val="20"/>
              </w:rPr>
            </w:pPr>
            <w:r w:rsidRPr="004B02E5">
              <w:rPr>
                <w:sz w:val="20"/>
              </w:rPr>
              <w:t xml:space="preserve">PM reduction </w:t>
            </w:r>
          </w:p>
        </w:tc>
        <w:tc>
          <w:tcPr>
            <w:tcW w:w="2410" w:type="dxa"/>
            <w:shd w:val="clear" w:color="auto" w:fill="auto"/>
            <w:vAlign w:val="center"/>
          </w:tcPr>
          <w:p w:rsidR="00EB0AB3" w:rsidRPr="00B37D5D" w:rsidRDefault="00EB0AB3" w:rsidP="00100058">
            <w:pPr>
              <w:pStyle w:val="NoSpacing"/>
              <w:jc w:val="center"/>
              <w:rPr>
                <w:sz w:val="20"/>
              </w:rPr>
            </w:pPr>
            <w:r w:rsidRPr="00B37D5D">
              <w:rPr>
                <w:sz w:val="20"/>
              </w:rPr>
              <w:t>848</w:t>
            </w:r>
            <w:r>
              <w:rPr>
                <w:sz w:val="20"/>
              </w:rPr>
              <w:t xml:space="preserve"> tons</w:t>
            </w:r>
          </w:p>
        </w:tc>
      </w:tr>
      <w:tr w:rsidR="00EB0AB3" w:rsidRPr="004B02E5" w:rsidTr="00100058">
        <w:tc>
          <w:tcPr>
            <w:tcW w:w="4096" w:type="dxa"/>
            <w:shd w:val="clear" w:color="auto" w:fill="auto"/>
            <w:hideMark/>
          </w:tcPr>
          <w:p w:rsidR="00EB0AB3" w:rsidRPr="004B02E5" w:rsidRDefault="00EB0AB3" w:rsidP="00100058">
            <w:pPr>
              <w:pStyle w:val="NoSpacing"/>
              <w:rPr>
                <w:sz w:val="20"/>
              </w:rPr>
            </w:pPr>
            <w:r w:rsidRPr="004B02E5">
              <w:rPr>
                <w:sz w:val="20"/>
              </w:rPr>
              <w:t>NO</w:t>
            </w:r>
            <w:r w:rsidRPr="004B02E5">
              <w:rPr>
                <w:sz w:val="20"/>
                <w:vertAlign w:val="subscript"/>
              </w:rPr>
              <w:t>x</w:t>
            </w:r>
            <w:r w:rsidRPr="004B02E5">
              <w:rPr>
                <w:sz w:val="20"/>
              </w:rPr>
              <w:t xml:space="preserve"> reduction</w:t>
            </w:r>
          </w:p>
        </w:tc>
        <w:tc>
          <w:tcPr>
            <w:tcW w:w="2410" w:type="dxa"/>
            <w:shd w:val="clear" w:color="auto" w:fill="auto"/>
            <w:vAlign w:val="center"/>
          </w:tcPr>
          <w:p w:rsidR="00EB0AB3" w:rsidRPr="00B37D5D" w:rsidRDefault="00EB0AB3" w:rsidP="00100058">
            <w:pPr>
              <w:pStyle w:val="NoSpacing"/>
              <w:jc w:val="center"/>
              <w:rPr>
                <w:sz w:val="20"/>
              </w:rPr>
            </w:pPr>
            <w:r w:rsidRPr="00B37D5D">
              <w:rPr>
                <w:sz w:val="20"/>
              </w:rPr>
              <w:t>19,527</w:t>
            </w:r>
            <w:r>
              <w:rPr>
                <w:sz w:val="20"/>
              </w:rPr>
              <w:t xml:space="preserve"> tons</w:t>
            </w:r>
          </w:p>
        </w:tc>
      </w:tr>
      <w:tr w:rsidR="00EB0AB3" w:rsidRPr="004B02E5" w:rsidTr="00100058">
        <w:tc>
          <w:tcPr>
            <w:tcW w:w="4096" w:type="dxa"/>
            <w:shd w:val="clear" w:color="auto" w:fill="auto"/>
          </w:tcPr>
          <w:p w:rsidR="00EB0AB3" w:rsidRPr="004B02E5" w:rsidRDefault="00EB0AB3" w:rsidP="00100058">
            <w:pPr>
              <w:pStyle w:val="NoSpacing"/>
              <w:rPr>
                <w:sz w:val="20"/>
              </w:rPr>
            </w:pPr>
            <w:r w:rsidRPr="004B02E5">
              <w:rPr>
                <w:sz w:val="20"/>
              </w:rPr>
              <w:t xml:space="preserve">Monetary value of </w:t>
            </w:r>
            <w:r>
              <w:rPr>
                <w:sz w:val="20"/>
              </w:rPr>
              <w:t>fuel savings</w:t>
            </w:r>
          </w:p>
        </w:tc>
        <w:tc>
          <w:tcPr>
            <w:tcW w:w="2410" w:type="dxa"/>
            <w:shd w:val="clear" w:color="auto" w:fill="auto"/>
            <w:vAlign w:val="center"/>
          </w:tcPr>
          <w:p w:rsidR="00EB0AB3" w:rsidRPr="00B37D5D" w:rsidRDefault="00EB0AB3" w:rsidP="00100058">
            <w:pPr>
              <w:pStyle w:val="NoSpacing"/>
              <w:jc w:val="center"/>
              <w:rPr>
                <w:sz w:val="20"/>
              </w:rPr>
            </w:pPr>
            <w:r w:rsidRPr="00B37D5D">
              <w:rPr>
                <w:sz w:val="20"/>
              </w:rPr>
              <w:t>361</w:t>
            </w:r>
            <w:r>
              <w:rPr>
                <w:sz w:val="20"/>
              </w:rPr>
              <w:t xml:space="preserve"> million USD of 2015</w:t>
            </w:r>
          </w:p>
        </w:tc>
      </w:tr>
      <w:tr w:rsidR="00EB0AB3" w:rsidRPr="004B02E5" w:rsidTr="00100058">
        <w:tc>
          <w:tcPr>
            <w:tcW w:w="4096" w:type="dxa"/>
            <w:shd w:val="clear" w:color="auto" w:fill="auto"/>
          </w:tcPr>
          <w:p w:rsidR="00EB0AB3" w:rsidRPr="004B02E5" w:rsidRDefault="00EB0AB3" w:rsidP="00100058">
            <w:pPr>
              <w:pStyle w:val="NoSpacing"/>
              <w:rPr>
                <w:sz w:val="20"/>
              </w:rPr>
            </w:pPr>
            <w:r w:rsidRPr="004B02E5">
              <w:rPr>
                <w:sz w:val="20"/>
              </w:rPr>
              <w:t xml:space="preserve">Monetary value of </w:t>
            </w:r>
            <w:r>
              <w:rPr>
                <w:sz w:val="20"/>
              </w:rPr>
              <w:t>reduced accidents</w:t>
            </w:r>
          </w:p>
        </w:tc>
        <w:tc>
          <w:tcPr>
            <w:tcW w:w="2410" w:type="dxa"/>
            <w:shd w:val="clear" w:color="auto" w:fill="auto"/>
            <w:vAlign w:val="center"/>
          </w:tcPr>
          <w:p w:rsidR="00EB0AB3" w:rsidRPr="00B37D5D" w:rsidRDefault="00EB0AB3" w:rsidP="00100058">
            <w:pPr>
              <w:pStyle w:val="NoSpacing"/>
              <w:jc w:val="center"/>
              <w:rPr>
                <w:sz w:val="20"/>
              </w:rPr>
            </w:pPr>
            <w:r w:rsidRPr="00B37D5D">
              <w:rPr>
                <w:sz w:val="20"/>
              </w:rPr>
              <w:t>98</w:t>
            </w:r>
            <w:r>
              <w:rPr>
                <w:sz w:val="20"/>
              </w:rPr>
              <w:t xml:space="preserve"> million USD of 2015</w:t>
            </w:r>
          </w:p>
        </w:tc>
      </w:tr>
      <w:tr w:rsidR="00EB0AB3" w:rsidRPr="004B02E5" w:rsidTr="00100058">
        <w:tc>
          <w:tcPr>
            <w:tcW w:w="4096" w:type="dxa"/>
            <w:shd w:val="clear" w:color="auto" w:fill="auto"/>
          </w:tcPr>
          <w:p w:rsidR="00EB0AB3" w:rsidRPr="004B02E5" w:rsidRDefault="00EB0AB3" w:rsidP="00100058">
            <w:pPr>
              <w:pStyle w:val="NoSpacing"/>
              <w:rPr>
                <w:sz w:val="20"/>
              </w:rPr>
            </w:pPr>
            <w:r w:rsidRPr="004B02E5">
              <w:rPr>
                <w:sz w:val="20"/>
              </w:rPr>
              <w:t xml:space="preserve">Monetary value of </w:t>
            </w:r>
            <w:r>
              <w:rPr>
                <w:sz w:val="20"/>
              </w:rPr>
              <w:t>reduced air pollution</w:t>
            </w:r>
          </w:p>
        </w:tc>
        <w:tc>
          <w:tcPr>
            <w:tcW w:w="2410" w:type="dxa"/>
            <w:shd w:val="clear" w:color="auto" w:fill="auto"/>
            <w:vAlign w:val="center"/>
          </w:tcPr>
          <w:p w:rsidR="00EB0AB3" w:rsidRPr="00B37D5D" w:rsidRDefault="00EB0AB3" w:rsidP="00100058">
            <w:pPr>
              <w:pStyle w:val="NoSpacing"/>
              <w:jc w:val="center"/>
              <w:rPr>
                <w:sz w:val="20"/>
              </w:rPr>
            </w:pPr>
            <w:r w:rsidRPr="00B37D5D">
              <w:rPr>
                <w:sz w:val="20"/>
              </w:rPr>
              <w:t>51</w:t>
            </w:r>
            <w:r>
              <w:rPr>
                <w:sz w:val="20"/>
              </w:rPr>
              <w:t xml:space="preserve"> million USD of 2015</w:t>
            </w:r>
          </w:p>
        </w:tc>
      </w:tr>
      <w:tr w:rsidR="00EB0AB3" w:rsidRPr="004B02E5" w:rsidTr="00100058">
        <w:tc>
          <w:tcPr>
            <w:tcW w:w="4096" w:type="dxa"/>
            <w:shd w:val="clear" w:color="auto" w:fill="auto"/>
          </w:tcPr>
          <w:p w:rsidR="00EB0AB3" w:rsidRPr="004B02E5" w:rsidRDefault="00EB0AB3" w:rsidP="00100058">
            <w:pPr>
              <w:pStyle w:val="NoSpacing"/>
              <w:rPr>
                <w:sz w:val="20"/>
              </w:rPr>
            </w:pPr>
            <w:r w:rsidRPr="004B02E5">
              <w:rPr>
                <w:sz w:val="20"/>
              </w:rPr>
              <w:t xml:space="preserve">Monetary value </w:t>
            </w:r>
            <w:r>
              <w:rPr>
                <w:sz w:val="20"/>
              </w:rPr>
              <w:t>total</w:t>
            </w:r>
          </w:p>
        </w:tc>
        <w:tc>
          <w:tcPr>
            <w:tcW w:w="2410" w:type="dxa"/>
            <w:shd w:val="clear" w:color="auto" w:fill="auto"/>
            <w:vAlign w:val="center"/>
          </w:tcPr>
          <w:p w:rsidR="00EB0AB3" w:rsidRPr="00B37D5D" w:rsidRDefault="00EB0AB3" w:rsidP="00100058">
            <w:pPr>
              <w:pStyle w:val="NoSpacing"/>
              <w:jc w:val="center"/>
              <w:rPr>
                <w:sz w:val="20"/>
              </w:rPr>
            </w:pPr>
            <w:r w:rsidRPr="00B37D5D">
              <w:rPr>
                <w:sz w:val="20"/>
              </w:rPr>
              <w:t>511</w:t>
            </w:r>
            <w:r>
              <w:rPr>
                <w:sz w:val="20"/>
              </w:rPr>
              <w:t xml:space="preserve"> million USD of 2015</w:t>
            </w:r>
          </w:p>
        </w:tc>
      </w:tr>
    </w:tbl>
    <w:p w:rsidR="00EB0AB3" w:rsidRDefault="00EB0AB3" w:rsidP="00EB0AB3">
      <w:pPr>
        <w:jc w:val="both"/>
      </w:pPr>
      <w:r>
        <w:lastRenderedPageBreak/>
        <w:t>The cumulative SD impact in monetary terms is around 0.5 billion USD. In annual terms in 2030 the impact is 75 million USD savings. The NAMA has thus a significant impact on the well-being and the sustainable development of Bangladesh</w:t>
      </w:r>
      <w:r w:rsidR="00144684">
        <w:t>.</w:t>
      </w:r>
    </w:p>
    <w:p w:rsidR="00EB0AB3" w:rsidRDefault="00144684" w:rsidP="00EB0AB3">
      <w:pPr>
        <w:jc w:val="both"/>
      </w:pPr>
      <w:r>
        <w:t xml:space="preserve">11. In terms of </w:t>
      </w:r>
      <w:r w:rsidRPr="00144684">
        <w:rPr>
          <w:b/>
        </w:rPr>
        <w:t>finance</w:t>
      </w:r>
      <w:r>
        <w:t xml:space="preserve"> t</w:t>
      </w:r>
      <w:r w:rsidR="00EB0AB3">
        <w:t>he rail Master Plan on which the activities and the NAMA is structured consists of 235 projects costing USD 30 billion in the period 2010 to 2030. Phase I until 2015 thereby had an investment volume of 16.41 billion USD. The NAMA has as major financial benefits the net income from its services in the passenger and the freight sector. In economic terms the S</w:t>
      </w:r>
      <w:r>
        <w:t xml:space="preserve">ustainable </w:t>
      </w:r>
      <w:r w:rsidR="00EB0AB3">
        <w:t>D</w:t>
      </w:r>
      <w:r>
        <w:t xml:space="preserve">evelopment savings from </w:t>
      </w:r>
      <w:r w:rsidR="00EB0AB3">
        <w:t xml:space="preserve">air pollution, fuel savings and </w:t>
      </w:r>
      <w:r>
        <w:t>reduced accidents</w:t>
      </w:r>
      <w:r w:rsidR="00EB0AB3">
        <w:t xml:space="preserve"> account for a benefit of around 3 billion USD over the investment life-span of 40 years i.e. this covers around 10% of the investment costs. </w:t>
      </w:r>
      <w:r>
        <w:t xml:space="preserve"> </w:t>
      </w:r>
      <w:r w:rsidR="00EB0AB3" w:rsidRPr="008574BD">
        <w:t>The investment cost per ton CO</w:t>
      </w:r>
      <w:r w:rsidR="00EB0AB3" w:rsidRPr="00500EAB">
        <w:rPr>
          <w:vertAlign w:val="subscript"/>
        </w:rPr>
        <w:t>2</w:t>
      </w:r>
      <w:r w:rsidR="00EB0AB3">
        <w:t xml:space="preserve"> abated </w:t>
      </w:r>
      <w:r>
        <w:t>i</w:t>
      </w:r>
      <w:r w:rsidR="00EB0AB3">
        <w:t>ncluding economic benefits is around 1,660 USD/tCO</w:t>
      </w:r>
      <w:r w:rsidR="00EB0AB3" w:rsidRPr="00C356C8">
        <w:rPr>
          <w:vertAlign w:val="subscript"/>
        </w:rPr>
        <w:t>2e</w:t>
      </w:r>
      <w:r w:rsidR="00EB0AB3">
        <w:t>. This is not the CO</w:t>
      </w:r>
      <w:r w:rsidR="00EB0AB3" w:rsidRPr="008574BD">
        <w:rPr>
          <w:vertAlign w:val="subscript"/>
        </w:rPr>
        <w:t>2</w:t>
      </w:r>
      <w:r w:rsidR="00EB0AB3">
        <w:t xml:space="preserve"> abatement cost as the rail project has income and benefits apart from GHG reductions</w:t>
      </w:r>
      <w:r>
        <w:t>. Finance for the NAMA could be structured basically through the Green Climate Fund with a blending of national and international resources and of credit and grant facility.</w:t>
      </w:r>
    </w:p>
    <w:p w:rsidR="00EB0AB3" w:rsidRPr="00144684" w:rsidRDefault="00144684" w:rsidP="00EB0AB3">
      <w:pPr>
        <w:jc w:val="both"/>
        <w:rPr>
          <w:lang w:val="en-US"/>
        </w:rPr>
      </w:pPr>
      <w:r>
        <w:t xml:space="preserve">12. </w:t>
      </w:r>
      <w:r w:rsidR="00EB0AB3">
        <w:rPr>
          <w:lang w:val="en-US"/>
        </w:rPr>
        <w:t>Within the national system for GHG inventory of Bangladesh MOEF</w:t>
      </w:r>
      <w:r w:rsidR="00EB0AB3" w:rsidRPr="00D1748B">
        <w:rPr>
          <w:lang w:val="en-US"/>
        </w:rPr>
        <w:t xml:space="preserve"> is the focal poin</w:t>
      </w:r>
      <w:r w:rsidR="00EB0AB3">
        <w:rPr>
          <w:lang w:val="en-US"/>
        </w:rPr>
        <w:t xml:space="preserve">t for </w:t>
      </w:r>
      <w:r w:rsidR="00EB0AB3" w:rsidRPr="00144684">
        <w:rPr>
          <w:b/>
          <w:lang w:val="en-US"/>
        </w:rPr>
        <w:t>reporting GHG emissions</w:t>
      </w:r>
      <w:r w:rsidR="00EB0AB3">
        <w:rPr>
          <w:lang w:val="en-US"/>
        </w:rPr>
        <w:t xml:space="preserve">. </w:t>
      </w:r>
      <w:r w:rsidR="00EB0AB3">
        <w:t>The monitoring system for the NAMA primarily tracks GHG emissions and the sustainable development impact of inter-urban rail transport</w:t>
      </w:r>
      <w:r>
        <w:t xml:space="preserve"> next to NAMA implementation information</w:t>
      </w:r>
      <w:r w:rsidR="00EB0AB3">
        <w:t xml:space="preserve">. </w:t>
      </w:r>
      <w:r>
        <w:t>D</w:t>
      </w:r>
      <w:r w:rsidR="00EB0AB3">
        <w:t>ata can serve for Biennial Update Reports (BURs) as explanatory source of information concerning mitigation achievements.</w:t>
      </w:r>
    </w:p>
    <w:p w:rsidR="00BE3F41" w:rsidRPr="00144684" w:rsidRDefault="00BE3F41" w:rsidP="00AE23C4">
      <w:pPr>
        <w:rPr>
          <w:lang w:val="en-US"/>
        </w:rPr>
      </w:pPr>
    </w:p>
    <w:p w:rsidR="005E74A2" w:rsidRDefault="005E74A2" w:rsidP="005E74A2">
      <w:pPr>
        <w:pStyle w:val="Heading1"/>
      </w:pPr>
    </w:p>
    <w:p w:rsidR="00AE23C4" w:rsidRDefault="005E74A2" w:rsidP="00AE23C4">
      <w:pPr>
        <w:pStyle w:val="Heading1"/>
        <w:numPr>
          <w:ilvl w:val="0"/>
          <w:numId w:val="1"/>
        </w:numPr>
      </w:pPr>
      <w:r>
        <w:br w:type="column"/>
      </w:r>
      <w:bookmarkStart w:id="7" w:name="_Toc466207333"/>
      <w:r w:rsidR="00AE23C4">
        <w:lastRenderedPageBreak/>
        <w:t>Background</w:t>
      </w:r>
      <w:bookmarkEnd w:id="7"/>
    </w:p>
    <w:p w:rsidR="00AE23C4" w:rsidRDefault="00AE23C4" w:rsidP="00AE23C4"/>
    <w:p w:rsidR="00A76204" w:rsidRDefault="00813BB5" w:rsidP="00813BB5">
      <w:pPr>
        <w:jc w:val="both"/>
      </w:pPr>
      <w:r w:rsidRPr="003317EC">
        <w:t>GHG emissions of Bangladesh in 2011 of the power, industrial and transport sector were 64 MtCO</w:t>
      </w:r>
      <w:r w:rsidRPr="003317EC">
        <w:rPr>
          <w:vertAlign w:val="subscript"/>
        </w:rPr>
        <w:t>2e</w:t>
      </w:r>
      <w:r w:rsidRPr="003317EC">
        <w:t xml:space="preserve"> and are expected to increase under Business as Usual (BAU) by 2030 to 234 MtCO</w:t>
      </w:r>
      <w:r w:rsidRPr="003317EC">
        <w:rPr>
          <w:vertAlign w:val="subscript"/>
        </w:rPr>
        <w:t>2e</w:t>
      </w:r>
      <w:r w:rsidRPr="003317EC">
        <w:t xml:space="preserve"> representing 69% of total estimated emissions of 339 MtCO</w:t>
      </w:r>
      <w:r w:rsidRPr="003317EC">
        <w:rPr>
          <w:vertAlign w:val="subscript"/>
        </w:rPr>
        <w:t>2e</w:t>
      </w:r>
      <w:r w:rsidRPr="003317EC">
        <w:t xml:space="preserve">. </w:t>
      </w:r>
    </w:p>
    <w:p w:rsidR="00813BB5" w:rsidRPr="003317EC" w:rsidRDefault="00A76204" w:rsidP="00813BB5">
      <w:pPr>
        <w:jc w:val="both"/>
      </w:pPr>
      <w:r>
        <w:t>T</w:t>
      </w:r>
      <w:r w:rsidRPr="003317EC">
        <w:t>he 2</w:t>
      </w:r>
      <w:r w:rsidRPr="003317EC">
        <w:rPr>
          <w:vertAlign w:val="superscript"/>
        </w:rPr>
        <w:t>nd</w:t>
      </w:r>
      <w:r w:rsidRPr="003317EC">
        <w:t xml:space="preserve"> National Communication reported total transport emissions for the year 2005 of 5.5 MtCO</w:t>
      </w:r>
      <w:r w:rsidRPr="003317EC">
        <w:rPr>
          <w:vertAlign w:val="subscript"/>
        </w:rPr>
        <w:t>2</w:t>
      </w:r>
      <w:r>
        <w:rPr>
          <w:rStyle w:val="FootnoteReference"/>
        </w:rPr>
        <w:footnoteReference w:id="2"/>
      </w:r>
      <w:r>
        <w:rPr>
          <w:vertAlign w:val="subscript"/>
        </w:rPr>
        <w:t xml:space="preserve">. </w:t>
      </w:r>
      <w:r>
        <w:t xml:space="preserve">For 2014 transport emissions are estimated at around 11 </w:t>
      </w:r>
      <w:r w:rsidR="00813BB5">
        <w:t>MtCO</w:t>
      </w:r>
      <w:r w:rsidR="00813BB5" w:rsidRPr="001130F0">
        <w:rPr>
          <w:vertAlign w:val="subscript"/>
        </w:rPr>
        <w:t>2e</w:t>
      </w:r>
      <w:r w:rsidR="00813BB5">
        <w:t xml:space="preserve"> </w:t>
      </w:r>
      <w:r>
        <w:t xml:space="preserve">based on a top-down calculation using fuel consumption data. </w:t>
      </w:r>
      <w:r w:rsidR="00813BB5">
        <w:t>D</w:t>
      </w:r>
      <w:r w:rsidR="00813BB5" w:rsidRPr="003317EC">
        <w:t xml:space="preserve">isaggregated </w:t>
      </w:r>
      <w:r w:rsidR="00813BB5">
        <w:t xml:space="preserve">fuel consumption data of </w:t>
      </w:r>
      <w:r w:rsidR="00813BB5" w:rsidRPr="003317EC">
        <w:t xml:space="preserve">Bangladesh </w:t>
      </w:r>
      <w:r w:rsidR="00813BB5">
        <w:t xml:space="preserve">shows for </w:t>
      </w:r>
      <w:r w:rsidR="00813BB5" w:rsidRPr="003317EC">
        <w:t>2014-15 a gasoline consumption of 508 Mt and a diesel fuel consumption of 3,864 Mt</w:t>
      </w:r>
      <w:r w:rsidR="00813BB5">
        <w:rPr>
          <w:rStyle w:val="FootnoteReference"/>
        </w:rPr>
        <w:footnoteReference w:id="3"/>
      </w:r>
      <w:r w:rsidR="00813BB5" w:rsidRPr="003317EC">
        <w:t>. 100% of gasoline fuel consumption is attributed towards the transport sector as is done also in the 2</w:t>
      </w:r>
      <w:r w:rsidR="00813BB5" w:rsidRPr="003317EC">
        <w:rPr>
          <w:vertAlign w:val="superscript"/>
        </w:rPr>
        <w:t>nd</w:t>
      </w:r>
      <w:r w:rsidR="00813BB5" w:rsidRPr="003317EC">
        <w:t xml:space="preserve"> National Communication. In diesel however the transportation sector only consumes around 54% of total diesel as is shown in the figure below, therefore resulting in 2,087 Mt of diesel used for transportation.</w:t>
      </w:r>
      <w:r w:rsidR="00813BB5">
        <w:t xml:space="preserve"> </w:t>
      </w:r>
    </w:p>
    <w:p w:rsidR="00813BB5" w:rsidRPr="00E542FD" w:rsidRDefault="00E542FD" w:rsidP="00E542FD">
      <w:pPr>
        <w:pStyle w:val="NoSpacing"/>
        <w:rPr>
          <w:b/>
          <w:sz w:val="20"/>
        </w:rPr>
      </w:pPr>
      <w:r w:rsidRPr="00E542FD">
        <w:rPr>
          <w:b/>
          <w:sz w:val="20"/>
        </w:rPr>
        <w:t xml:space="preserve">Figure </w:t>
      </w:r>
      <w:r w:rsidRPr="00E542FD">
        <w:rPr>
          <w:b/>
          <w:sz w:val="20"/>
        </w:rPr>
        <w:fldChar w:fldCharType="begin"/>
      </w:r>
      <w:r w:rsidRPr="00E542FD">
        <w:rPr>
          <w:b/>
          <w:sz w:val="20"/>
        </w:rPr>
        <w:instrText xml:space="preserve"> SEQ Figure \* ARABIC </w:instrText>
      </w:r>
      <w:r w:rsidRPr="00E542FD">
        <w:rPr>
          <w:b/>
          <w:sz w:val="20"/>
        </w:rPr>
        <w:fldChar w:fldCharType="separate"/>
      </w:r>
      <w:r w:rsidR="00AC6EDE">
        <w:rPr>
          <w:b/>
          <w:noProof/>
          <w:sz w:val="20"/>
        </w:rPr>
        <w:t>2</w:t>
      </w:r>
      <w:r w:rsidRPr="00E542FD">
        <w:rPr>
          <w:b/>
          <w:sz w:val="20"/>
        </w:rPr>
        <w:fldChar w:fldCharType="end"/>
      </w:r>
      <w:r w:rsidR="000A59F3" w:rsidRPr="00E542FD">
        <w:rPr>
          <w:b/>
          <w:sz w:val="20"/>
        </w:rPr>
        <w:t>:</w:t>
      </w:r>
      <w:r w:rsidRPr="00E542FD">
        <w:rPr>
          <w:b/>
          <w:sz w:val="20"/>
        </w:rPr>
        <w:t xml:space="preserve"> </w:t>
      </w:r>
      <w:r w:rsidR="00813BB5" w:rsidRPr="00E542FD">
        <w:rPr>
          <w:b/>
          <w:sz w:val="20"/>
        </w:rPr>
        <w:t>Diesel Usage by Sector Bangladesh (2013-2014)</w:t>
      </w:r>
    </w:p>
    <w:p w:rsidR="00813BB5" w:rsidRPr="009D1083" w:rsidRDefault="00813BB5" w:rsidP="00813BB5">
      <w:pPr>
        <w:pStyle w:val="NoSpacing"/>
        <w:rPr>
          <w:sz w:val="20"/>
        </w:rPr>
      </w:pPr>
      <w:r w:rsidRPr="003317EC">
        <w:rPr>
          <w:noProof/>
          <w:sz w:val="20"/>
          <w:lang w:eastAsia="en-GB"/>
        </w:rPr>
        <w:drawing>
          <wp:inline distT="0" distB="0" distL="0" distR="0" wp14:anchorId="738C91AA" wp14:editId="72BD11FA">
            <wp:extent cx="3834130" cy="2634615"/>
            <wp:effectExtent l="0" t="0" r="13970" b="13335"/>
            <wp:docPr id="1"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813BB5" w:rsidRPr="009D1083" w:rsidRDefault="00813BB5" w:rsidP="00813BB5">
      <w:pPr>
        <w:pStyle w:val="NoSpacing"/>
        <w:rPr>
          <w:sz w:val="20"/>
        </w:rPr>
      </w:pPr>
      <w:r w:rsidRPr="009D1083">
        <w:rPr>
          <w:sz w:val="20"/>
        </w:rPr>
        <w:t xml:space="preserve">Source: Bangladesh Petroleum Corporation; see </w:t>
      </w:r>
      <w:hyperlink r:id="rId12" w:history="1">
        <w:r w:rsidRPr="009D1083">
          <w:rPr>
            <w:rStyle w:val="Hyperlink"/>
            <w:sz w:val="20"/>
          </w:rPr>
          <w:t>http://www.bpc.gov.bd/contactus.php?id=30</w:t>
        </w:r>
      </w:hyperlink>
    </w:p>
    <w:p w:rsidR="00813BB5" w:rsidRDefault="00813BB5" w:rsidP="00813BB5">
      <w:pPr>
        <w:pStyle w:val="NoSpacing"/>
      </w:pPr>
    </w:p>
    <w:p w:rsidR="00813BB5" w:rsidRPr="003317EC" w:rsidRDefault="00813BB5" w:rsidP="00813BB5">
      <w:pPr>
        <w:jc w:val="both"/>
      </w:pPr>
      <w:r>
        <w:t>Additionally</w:t>
      </w:r>
      <w:r w:rsidR="00E6120B">
        <w:t>,</w:t>
      </w:r>
      <w:r>
        <w:t xml:space="preserve"> the transportation sector consumed 2013 around 43,000 TJ of CNG</w:t>
      </w:r>
      <w:r>
        <w:rPr>
          <w:rStyle w:val="FootnoteReference"/>
        </w:rPr>
        <w:footnoteReference w:id="4"/>
      </w:r>
      <w:r>
        <w:t xml:space="preserve">. </w:t>
      </w:r>
      <w:r w:rsidRPr="003317EC">
        <w:t>Based on the NCV and EF</w:t>
      </w:r>
      <w:r w:rsidRPr="003317EC">
        <w:rPr>
          <w:vertAlign w:val="subscript"/>
        </w:rPr>
        <w:t>CO2</w:t>
      </w:r>
      <w:r w:rsidRPr="003317EC">
        <w:t xml:space="preserve"> of fuels as published by IPCC total t</w:t>
      </w:r>
      <w:r w:rsidR="000A59F3">
        <w:t>ransportation emissions for 2014</w:t>
      </w:r>
      <w:r w:rsidRPr="003317EC">
        <w:t xml:space="preserve"> result in </w:t>
      </w:r>
      <w:r>
        <w:t>around 10.6</w:t>
      </w:r>
      <w:r w:rsidRPr="003317EC">
        <w:t xml:space="preserve"> MtCO</w:t>
      </w:r>
      <w:r w:rsidRPr="001130F0">
        <w:rPr>
          <w:vertAlign w:val="subscript"/>
        </w:rPr>
        <w:t>2</w:t>
      </w:r>
      <w:r w:rsidRPr="003317EC">
        <w:t>.</w:t>
      </w:r>
      <w:r w:rsidR="00A76204">
        <w:t xml:space="preserve"> </w:t>
      </w:r>
      <w:r w:rsidR="000A59F3">
        <w:t>The INDC forecasts transport emissions under BAU for 2030 of 37 MtCO</w:t>
      </w:r>
      <w:r w:rsidR="000A59F3" w:rsidRPr="000A59F3">
        <w:rPr>
          <w:vertAlign w:val="subscript"/>
        </w:rPr>
        <w:t>2e</w:t>
      </w:r>
      <w:r w:rsidR="000A59F3">
        <w:t xml:space="preserve"> which however appear to be rather on the high end</w:t>
      </w:r>
      <w:r w:rsidR="00DD60F5">
        <w:rPr>
          <w:rStyle w:val="FootnoteReference"/>
        </w:rPr>
        <w:footnoteReference w:id="5"/>
      </w:r>
      <w:r w:rsidR="00DD60F5">
        <w:t>.</w:t>
      </w:r>
    </w:p>
    <w:p w:rsidR="000A59F3" w:rsidRPr="000A59F3" w:rsidRDefault="000A59F3" w:rsidP="000A59F3">
      <w:pPr>
        <w:pStyle w:val="NoSpacing"/>
        <w:rPr>
          <w:b/>
          <w:sz w:val="20"/>
        </w:rPr>
      </w:pPr>
      <w:r>
        <w:rPr>
          <w:b/>
          <w:sz w:val="20"/>
        </w:rPr>
        <w:br w:type="column"/>
      </w:r>
      <w:r w:rsidRPr="000A59F3">
        <w:rPr>
          <w:b/>
          <w:sz w:val="20"/>
        </w:rPr>
        <w:lastRenderedPageBreak/>
        <w:t xml:space="preserve">Figure </w:t>
      </w:r>
      <w:r w:rsidRPr="000A59F3">
        <w:rPr>
          <w:b/>
          <w:sz w:val="20"/>
        </w:rPr>
        <w:fldChar w:fldCharType="begin"/>
      </w:r>
      <w:r w:rsidRPr="000A59F3">
        <w:rPr>
          <w:b/>
          <w:sz w:val="20"/>
        </w:rPr>
        <w:instrText xml:space="preserve"> SEQ Figure \* ARABIC </w:instrText>
      </w:r>
      <w:r w:rsidRPr="000A59F3">
        <w:rPr>
          <w:b/>
          <w:sz w:val="20"/>
        </w:rPr>
        <w:fldChar w:fldCharType="separate"/>
      </w:r>
      <w:r w:rsidR="00AC6EDE">
        <w:rPr>
          <w:b/>
          <w:noProof/>
          <w:sz w:val="20"/>
        </w:rPr>
        <w:t>3</w:t>
      </w:r>
      <w:r w:rsidRPr="000A59F3">
        <w:rPr>
          <w:b/>
          <w:sz w:val="20"/>
        </w:rPr>
        <w:fldChar w:fldCharType="end"/>
      </w:r>
      <w:r w:rsidRPr="000A59F3">
        <w:rPr>
          <w:b/>
          <w:sz w:val="20"/>
        </w:rPr>
        <w:t>: GHG Emission Trend Transport Sector Bangladesh</w:t>
      </w:r>
    </w:p>
    <w:p w:rsidR="000A59F3" w:rsidRPr="000A59F3" w:rsidRDefault="000A59F3" w:rsidP="000A59F3">
      <w:pPr>
        <w:pStyle w:val="NoSpacing"/>
        <w:rPr>
          <w:sz w:val="20"/>
        </w:rPr>
      </w:pPr>
      <w:r w:rsidRPr="000A59F3">
        <w:rPr>
          <w:noProof/>
          <w:sz w:val="20"/>
          <w:lang w:eastAsia="en-GB"/>
        </w:rPr>
        <w:drawing>
          <wp:inline distT="0" distB="0" distL="0" distR="0" wp14:anchorId="5A67A153" wp14:editId="54A4D095">
            <wp:extent cx="4328160" cy="2472690"/>
            <wp:effectExtent l="0" t="0" r="15240" b="381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B900D5" w:rsidRDefault="000A59F3" w:rsidP="00B900D5">
      <w:pPr>
        <w:pStyle w:val="NoSpacing"/>
        <w:rPr>
          <w:sz w:val="20"/>
        </w:rPr>
      </w:pPr>
      <w:r w:rsidRPr="000A59F3">
        <w:rPr>
          <w:sz w:val="20"/>
        </w:rPr>
        <w:t xml:space="preserve">Source: 2005 MOEF (2012), 2014: calculation by Grütter Consulting; </w:t>
      </w:r>
      <w:r w:rsidR="00B900D5">
        <w:rPr>
          <w:sz w:val="20"/>
        </w:rPr>
        <w:t>2030 MOEF (2015)</w:t>
      </w:r>
    </w:p>
    <w:p w:rsidR="000A59F3" w:rsidRPr="00B900D5" w:rsidRDefault="000A59F3" w:rsidP="00B900D5">
      <w:pPr>
        <w:pStyle w:val="NoSpacing"/>
        <w:rPr>
          <w:sz w:val="20"/>
        </w:rPr>
      </w:pPr>
      <w:r>
        <w:t xml:space="preserve"> </w:t>
      </w:r>
    </w:p>
    <w:p w:rsidR="00211EB9" w:rsidRDefault="00813BB5" w:rsidP="00813BB5">
      <w:pPr>
        <w:jc w:val="both"/>
      </w:pPr>
      <w:r w:rsidRPr="003317EC">
        <w:t xml:space="preserve">Road has become the dominant mode of transport with </w:t>
      </w:r>
      <w:r w:rsidR="00211EB9">
        <w:t>nearly</w:t>
      </w:r>
      <w:r w:rsidRPr="003317EC">
        <w:t xml:space="preserve"> 90% of passenger transport (in terms of pkm) in the year 2006 with rail only accounting for 4% and inland waterways for 8%. 1976 the rail share was still 30% and the inland waterway share 16%. In the freight sector a similar </w:t>
      </w:r>
      <w:r w:rsidR="00211EB9">
        <w:t xml:space="preserve">trend </w:t>
      </w:r>
      <w:r w:rsidRPr="003317EC">
        <w:t>can be observed with 80% of tkm being transported by road, 16% by inland waterway and 4% by rail. Also here 1976 the rail share was much higher with 28% and the inland waterway share was 37%</w:t>
      </w:r>
      <w:r>
        <w:rPr>
          <w:rStyle w:val="FootnoteReference"/>
        </w:rPr>
        <w:footnoteReference w:id="6"/>
      </w:r>
      <w:r w:rsidRPr="003317EC">
        <w:t>.</w:t>
      </w:r>
    </w:p>
    <w:p w:rsidR="00211EB9" w:rsidRPr="000A59F3" w:rsidRDefault="00211EB9" w:rsidP="000A59F3">
      <w:pPr>
        <w:pStyle w:val="NoSpacing"/>
        <w:rPr>
          <w:b/>
          <w:sz w:val="20"/>
        </w:rPr>
      </w:pPr>
      <w:r w:rsidRPr="000A59F3">
        <w:rPr>
          <w:b/>
          <w:sz w:val="20"/>
        </w:rPr>
        <w:t xml:space="preserve">Figure </w:t>
      </w:r>
      <w:r w:rsidRPr="000A59F3">
        <w:rPr>
          <w:b/>
          <w:sz w:val="20"/>
        </w:rPr>
        <w:fldChar w:fldCharType="begin"/>
      </w:r>
      <w:r w:rsidRPr="000A59F3">
        <w:rPr>
          <w:b/>
          <w:sz w:val="20"/>
        </w:rPr>
        <w:instrText xml:space="preserve"> SEQ Figure \* ARABIC </w:instrText>
      </w:r>
      <w:r w:rsidRPr="000A59F3">
        <w:rPr>
          <w:b/>
          <w:sz w:val="20"/>
        </w:rPr>
        <w:fldChar w:fldCharType="separate"/>
      </w:r>
      <w:r w:rsidR="00AC6EDE">
        <w:rPr>
          <w:b/>
          <w:noProof/>
          <w:sz w:val="20"/>
        </w:rPr>
        <w:t>4</w:t>
      </w:r>
      <w:r w:rsidRPr="000A59F3">
        <w:rPr>
          <w:b/>
          <w:sz w:val="20"/>
        </w:rPr>
        <w:fldChar w:fldCharType="end"/>
      </w:r>
      <w:r w:rsidRPr="000A59F3">
        <w:rPr>
          <w:b/>
          <w:sz w:val="20"/>
        </w:rPr>
        <w:t>: Trends Mode Share Rail Freight and Passenger Transport (pkm and tkm)</w:t>
      </w:r>
    </w:p>
    <w:p w:rsidR="00211EB9" w:rsidRPr="000A59F3" w:rsidRDefault="000A59F3" w:rsidP="000A59F3">
      <w:pPr>
        <w:pStyle w:val="NoSpacing"/>
        <w:rPr>
          <w:sz w:val="20"/>
        </w:rPr>
      </w:pPr>
      <w:r>
        <w:rPr>
          <w:noProof/>
          <w:lang w:eastAsia="en-GB"/>
        </w:rPr>
        <w:drawing>
          <wp:inline distT="0" distB="0" distL="0" distR="0" wp14:anchorId="51E2BF64" wp14:editId="02D54250">
            <wp:extent cx="5276850" cy="2324100"/>
            <wp:effectExtent l="0" t="0" r="0"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211EB9" w:rsidRPr="000A59F3" w:rsidRDefault="00211EB9" w:rsidP="000A59F3">
      <w:pPr>
        <w:pStyle w:val="NoSpacing"/>
        <w:rPr>
          <w:sz w:val="20"/>
        </w:rPr>
      </w:pPr>
      <w:r w:rsidRPr="000A59F3">
        <w:rPr>
          <w:sz w:val="20"/>
        </w:rPr>
        <w:t xml:space="preserve">Source: </w:t>
      </w:r>
      <w:r w:rsidR="000A59F3" w:rsidRPr="000A59F3">
        <w:rPr>
          <w:sz w:val="20"/>
        </w:rPr>
        <w:t>Ministry of Communications cited in GED, 2010, Table 2.8</w:t>
      </w:r>
    </w:p>
    <w:p w:rsidR="00813BB5" w:rsidRPr="003317EC" w:rsidRDefault="00813BB5" w:rsidP="00F544A8">
      <w:pPr>
        <w:pStyle w:val="NoSpacing"/>
      </w:pPr>
      <w:r w:rsidRPr="003317EC">
        <w:t xml:space="preserve"> </w:t>
      </w:r>
    </w:p>
    <w:p w:rsidR="00813BB5" w:rsidRPr="003317EC" w:rsidRDefault="00813BB5" w:rsidP="00813BB5">
      <w:pPr>
        <w:jc w:val="both"/>
      </w:pPr>
      <w:r w:rsidRPr="003317EC">
        <w:t>The number of registered vehicles in Bangladesh was as of 02/2016 2.5 million units of which 1.4 million motorcycles (57% of all vehicles), 290,000 private passenger cars, 230,000 auto rickshaws, 150,000 buses (of which 87,000 microbuses, 27,000 minibuses and 37,000 large units), 119,000 trucks</w:t>
      </w:r>
      <w:r>
        <w:rPr>
          <w:rStyle w:val="FootnoteReference"/>
        </w:rPr>
        <w:footnoteReference w:id="7"/>
      </w:r>
      <w:r w:rsidRPr="003317EC">
        <w:t>, and 45,000 taxis. Vehicle registration categories also include Jeeps and pick-ups as separate categories (totalling some 122,000 units) which are eventually also private cars</w:t>
      </w:r>
      <w:r>
        <w:rPr>
          <w:rStyle w:val="FootnoteReference"/>
        </w:rPr>
        <w:footnoteReference w:id="8"/>
      </w:r>
      <w:r w:rsidRPr="003317EC">
        <w:t>. Total vehicle numbers have increased by factor 2.5 in the last 5 years with a large increase of motorcycles and a tripling of private passenger cars. Around 40% of vehicle</w:t>
      </w:r>
      <w:r>
        <w:t>s</w:t>
      </w:r>
      <w:r w:rsidRPr="003317EC">
        <w:t xml:space="preserve"> </w:t>
      </w:r>
      <w:r>
        <w:t>are</w:t>
      </w:r>
      <w:r w:rsidRPr="003317EC">
        <w:t xml:space="preserve"> registered in Dhaka.</w:t>
      </w:r>
    </w:p>
    <w:p w:rsidR="00AE23C4" w:rsidRDefault="00AE23C4" w:rsidP="00AE23C4">
      <w:pPr>
        <w:pStyle w:val="Heading1"/>
        <w:numPr>
          <w:ilvl w:val="0"/>
          <w:numId w:val="1"/>
        </w:numPr>
      </w:pPr>
      <w:bookmarkStart w:id="8" w:name="_Toc466207334"/>
      <w:r>
        <w:lastRenderedPageBreak/>
        <w:t>Country Ownership</w:t>
      </w:r>
      <w:bookmarkEnd w:id="8"/>
    </w:p>
    <w:p w:rsidR="00AE23C4" w:rsidRDefault="00AE23C4" w:rsidP="00AE23C4"/>
    <w:p w:rsidR="00813BB5" w:rsidRPr="003317EC" w:rsidRDefault="00813BB5" w:rsidP="00813BB5">
      <w:pPr>
        <w:jc w:val="both"/>
      </w:pPr>
      <w:r w:rsidRPr="003317EC">
        <w:t xml:space="preserve">Bangladesh’s </w:t>
      </w:r>
      <w:r w:rsidRPr="003317EC">
        <w:rPr>
          <w:b/>
        </w:rPr>
        <w:t>Intended Nationally Determined Contribution</w:t>
      </w:r>
      <w:r w:rsidR="00990CF2">
        <w:rPr>
          <w:b/>
        </w:rPr>
        <w:t xml:space="preserve"> </w:t>
      </w:r>
      <w:r w:rsidR="00990CF2" w:rsidRPr="00990CF2">
        <w:t>of 2015</w:t>
      </w:r>
      <w:r w:rsidR="00990CF2">
        <w:rPr>
          <w:rStyle w:val="FootnoteReference"/>
          <w:b/>
        </w:rPr>
        <w:footnoteReference w:id="9"/>
      </w:r>
      <w:r w:rsidRPr="003317EC">
        <w:t xml:space="preserve"> has as unconditional contribution a reduction of GHG emissions compared to BAU by 2030 of 5% in the power, transport and industry sectors. Within the INDC following conditional mitigation options for transport are addressed:</w:t>
      </w:r>
    </w:p>
    <w:p w:rsidR="00813BB5" w:rsidRDefault="00813BB5" w:rsidP="00813BB5">
      <w:pPr>
        <w:pStyle w:val="ListParagraph"/>
        <w:numPr>
          <w:ilvl w:val="0"/>
          <w:numId w:val="2"/>
        </w:numPr>
        <w:jc w:val="both"/>
        <w:rPr>
          <w:lang w:val="en-GB"/>
        </w:rPr>
      </w:pPr>
      <w:r>
        <w:rPr>
          <w:lang w:val="en-GB"/>
        </w:rPr>
        <w:t xml:space="preserve">Modal shift from road to rail and in general to </w:t>
      </w:r>
      <w:r w:rsidR="00990CF2">
        <w:rPr>
          <w:lang w:val="en-GB"/>
        </w:rPr>
        <w:t>public transport (</w:t>
      </w:r>
      <w:r>
        <w:rPr>
          <w:lang w:val="en-GB"/>
        </w:rPr>
        <w:t>PT</w:t>
      </w:r>
      <w:r w:rsidR="00990CF2">
        <w:rPr>
          <w:lang w:val="en-GB"/>
        </w:rPr>
        <w:t>)</w:t>
      </w:r>
      <w:r>
        <w:rPr>
          <w:lang w:val="en-GB"/>
        </w:rPr>
        <w:t xml:space="preserve"> in urban passenger transport with the goal of a rail mode share in urban passenger traffic of 20% by 2030;</w:t>
      </w:r>
    </w:p>
    <w:p w:rsidR="00813BB5" w:rsidRPr="00911AC4" w:rsidRDefault="00813BB5" w:rsidP="00813BB5">
      <w:pPr>
        <w:pStyle w:val="ListParagraph"/>
        <w:numPr>
          <w:ilvl w:val="0"/>
          <w:numId w:val="2"/>
        </w:numPr>
        <w:jc w:val="both"/>
        <w:rPr>
          <w:lang w:val="en-GB"/>
        </w:rPr>
      </w:pPr>
      <w:r>
        <w:rPr>
          <w:lang w:val="en-GB"/>
        </w:rPr>
        <w:t>Improved traffic management resulting in less congestion with an expected improvement by 2030 of 15% more efficient vehicle operations. This shall be achieved inter alia through the construction of expressways and investment in PT;</w:t>
      </w:r>
    </w:p>
    <w:p w:rsidR="00813BB5" w:rsidRDefault="00813BB5" w:rsidP="00813BB5">
      <w:pPr>
        <w:jc w:val="both"/>
      </w:pPr>
      <w:r w:rsidRPr="003317EC">
        <w:t xml:space="preserve">The </w:t>
      </w:r>
      <w:r w:rsidRPr="003317EC">
        <w:rPr>
          <w:b/>
        </w:rPr>
        <w:t>7</w:t>
      </w:r>
      <w:r w:rsidRPr="003317EC">
        <w:rPr>
          <w:b/>
          <w:vertAlign w:val="superscript"/>
        </w:rPr>
        <w:t>th</w:t>
      </w:r>
      <w:r w:rsidRPr="003317EC">
        <w:rPr>
          <w:b/>
        </w:rPr>
        <w:t xml:space="preserve"> 5-year plan 2016-2020</w:t>
      </w:r>
      <w:r w:rsidRPr="003317EC">
        <w:t xml:space="preserve"> of 2015</w:t>
      </w:r>
      <w:r>
        <w:rPr>
          <w:rStyle w:val="FootnoteReference"/>
        </w:rPr>
        <w:footnoteReference w:id="10"/>
      </w:r>
      <w:r w:rsidRPr="003317EC">
        <w:t xml:space="preserve"> includes as main relevant goals related to GHG mitigation in transport</w:t>
      </w:r>
      <w:r w:rsidR="00E6120B">
        <w:t>ation</w:t>
      </w:r>
      <w:r w:rsidRPr="003317EC">
        <w:t xml:space="preserve"> to address urban congestion with </w:t>
      </w:r>
      <w:r w:rsidR="00990CF2">
        <w:t>Mass Rapid Transit Systems (</w:t>
      </w:r>
      <w:r w:rsidRPr="003317EC">
        <w:t>MRTS</w:t>
      </w:r>
      <w:r w:rsidR="00990CF2">
        <w:t>)</w:t>
      </w:r>
      <w:r w:rsidRPr="003317EC">
        <w:t xml:space="preserve"> and to foster rail and inland waterway shipping</w:t>
      </w:r>
      <w:r>
        <w:t>.</w:t>
      </w:r>
    </w:p>
    <w:p w:rsidR="00813BB5" w:rsidRPr="003317EC" w:rsidRDefault="00813BB5" w:rsidP="00813BB5">
      <w:pPr>
        <w:jc w:val="both"/>
      </w:pPr>
      <w:r w:rsidRPr="003317EC">
        <w:t xml:space="preserve">The </w:t>
      </w:r>
      <w:r w:rsidRPr="003317EC">
        <w:rPr>
          <w:b/>
        </w:rPr>
        <w:t xml:space="preserve">National Sustainable Development Strategy </w:t>
      </w:r>
      <w:r w:rsidR="00990CF2">
        <w:t>of 2013</w:t>
      </w:r>
      <w:r>
        <w:rPr>
          <w:rStyle w:val="FootnoteReference"/>
        </w:rPr>
        <w:footnoteReference w:id="11"/>
      </w:r>
      <w:r w:rsidRPr="003317EC">
        <w:t xml:space="preserve"> includes as transport strategies with a potential to mitigate GHG emissions:</w:t>
      </w:r>
    </w:p>
    <w:p w:rsidR="00813BB5" w:rsidRDefault="00813BB5" w:rsidP="00813BB5">
      <w:pPr>
        <w:pStyle w:val="ListParagraph"/>
        <w:numPr>
          <w:ilvl w:val="0"/>
          <w:numId w:val="7"/>
        </w:numPr>
        <w:jc w:val="both"/>
        <w:rPr>
          <w:lang w:val="en-GB"/>
        </w:rPr>
      </w:pPr>
      <w:r w:rsidRPr="00ED2B30">
        <w:rPr>
          <w:lang w:val="en-GB"/>
        </w:rPr>
        <w:t>Improve railway linkages and expand rail capacity.</w:t>
      </w:r>
    </w:p>
    <w:p w:rsidR="00813BB5" w:rsidRPr="001043E6" w:rsidRDefault="00813BB5" w:rsidP="00813BB5">
      <w:pPr>
        <w:pStyle w:val="ListParagraph"/>
        <w:numPr>
          <w:ilvl w:val="0"/>
          <w:numId w:val="7"/>
        </w:numPr>
        <w:jc w:val="both"/>
        <w:rPr>
          <w:lang w:val="en-GB"/>
        </w:rPr>
      </w:pPr>
      <w:r>
        <w:rPr>
          <w:lang w:val="en-GB"/>
        </w:rPr>
        <w:t xml:space="preserve">For Dhaka and subsequently Chittagong give priority to pedestrians and develop a MRTS based on </w:t>
      </w:r>
      <w:r w:rsidR="00990CF2">
        <w:rPr>
          <w:lang w:val="en-GB"/>
        </w:rPr>
        <w:t>Bus Rapid Transit (</w:t>
      </w:r>
      <w:r>
        <w:rPr>
          <w:lang w:val="en-GB"/>
        </w:rPr>
        <w:t>BRT</w:t>
      </w:r>
      <w:r w:rsidR="00990CF2">
        <w:rPr>
          <w:lang w:val="en-GB"/>
        </w:rPr>
        <w:t xml:space="preserve">) and </w:t>
      </w:r>
      <w:r w:rsidR="00E6120B">
        <w:rPr>
          <w:lang w:val="en-GB"/>
        </w:rPr>
        <w:t xml:space="preserve">rail-based mass transportation </w:t>
      </w:r>
      <w:r>
        <w:rPr>
          <w:lang w:val="en-GB"/>
        </w:rPr>
        <w:t>as well as increase the bus size on trunk routes.</w:t>
      </w:r>
    </w:p>
    <w:p w:rsidR="00813BB5" w:rsidRPr="003317EC" w:rsidRDefault="00813BB5" w:rsidP="00813BB5">
      <w:pPr>
        <w:jc w:val="both"/>
      </w:pPr>
      <w:r w:rsidRPr="003317EC">
        <w:t xml:space="preserve">The </w:t>
      </w:r>
      <w:r w:rsidRPr="003317EC">
        <w:rPr>
          <w:b/>
        </w:rPr>
        <w:t>2</w:t>
      </w:r>
      <w:r w:rsidRPr="003317EC">
        <w:rPr>
          <w:b/>
          <w:vertAlign w:val="superscript"/>
        </w:rPr>
        <w:t>nd</w:t>
      </w:r>
      <w:r w:rsidRPr="003317EC">
        <w:rPr>
          <w:b/>
        </w:rPr>
        <w:t xml:space="preserve"> National Communication</w:t>
      </w:r>
      <w:r w:rsidR="00990CF2">
        <w:t xml:space="preserve"> of 2012</w:t>
      </w:r>
      <w:r>
        <w:t xml:space="preserve"> identifies</w:t>
      </w:r>
      <w:r w:rsidRPr="003317EC">
        <w:t xml:space="preserve"> following potential mitigation measures in the transport</w:t>
      </w:r>
      <w:r w:rsidR="00E6120B">
        <w:t>ation</w:t>
      </w:r>
      <w:r w:rsidRPr="003317EC">
        <w:t xml:space="preserve"> sector</w:t>
      </w:r>
      <w:r>
        <w:rPr>
          <w:rStyle w:val="FootnoteReference"/>
        </w:rPr>
        <w:footnoteReference w:id="12"/>
      </w:r>
      <w:r w:rsidRPr="003317EC">
        <w:t>:</w:t>
      </w:r>
    </w:p>
    <w:p w:rsidR="00813BB5" w:rsidRDefault="00813BB5" w:rsidP="00813BB5">
      <w:pPr>
        <w:pStyle w:val="ListParagraph"/>
        <w:numPr>
          <w:ilvl w:val="0"/>
          <w:numId w:val="4"/>
        </w:numPr>
        <w:rPr>
          <w:lang w:val="en-GB"/>
        </w:rPr>
      </w:pPr>
      <w:r>
        <w:rPr>
          <w:lang w:val="en-GB"/>
        </w:rPr>
        <w:t>Urban transport planning and t</w:t>
      </w:r>
      <w:r w:rsidRPr="00423529">
        <w:rPr>
          <w:lang w:val="en-GB"/>
        </w:rPr>
        <w:t>raffic management to decrease congestion;</w:t>
      </w:r>
    </w:p>
    <w:p w:rsidR="00813BB5" w:rsidRPr="00423529" w:rsidRDefault="00813BB5" w:rsidP="00813BB5">
      <w:pPr>
        <w:pStyle w:val="ListParagraph"/>
        <w:numPr>
          <w:ilvl w:val="0"/>
          <w:numId w:val="4"/>
        </w:numPr>
        <w:rPr>
          <w:lang w:val="en-GB"/>
        </w:rPr>
      </w:pPr>
      <w:r>
        <w:rPr>
          <w:lang w:val="en-GB"/>
        </w:rPr>
        <w:t>Urban MRTS;</w:t>
      </w:r>
    </w:p>
    <w:p w:rsidR="00813BB5" w:rsidRDefault="00813BB5" w:rsidP="00813BB5">
      <w:pPr>
        <w:pStyle w:val="ListParagraph"/>
        <w:numPr>
          <w:ilvl w:val="0"/>
          <w:numId w:val="4"/>
        </w:numPr>
        <w:rPr>
          <w:lang w:val="en-GB"/>
        </w:rPr>
      </w:pPr>
      <w:r>
        <w:rPr>
          <w:lang w:val="en-GB"/>
        </w:rPr>
        <w:t>Vehicle maintenance and Eco Drive;</w:t>
      </w:r>
    </w:p>
    <w:p w:rsidR="00813BB5" w:rsidRPr="00423529" w:rsidRDefault="00813BB5" w:rsidP="00813BB5">
      <w:pPr>
        <w:pStyle w:val="ListParagraph"/>
        <w:numPr>
          <w:ilvl w:val="0"/>
          <w:numId w:val="4"/>
        </w:numPr>
        <w:jc w:val="both"/>
        <w:rPr>
          <w:lang w:val="en-GB"/>
        </w:rPr>
      </w:pPr>
      <w:r>
        <w:rPr>
          <w:lang w:val="en-GB"/>
        </w:rPr>
        <w:t>Expansion and modernization of railways and a mode shift from road to rail and from road to waterways.</w:t>
      </w:r>
    </w:p>
    <w:p w:rsidR="00813BB5" w:rsidRPr="003317EC" w:rsidRDefault="00E6120B" w:rsidP="00813BB5">
      <w:pPr>
        <w:jc w:val="both"/>
      </w:pPr>
      <w:r>
        <w:br w:type="column"/>
      </w:r>
      <w:r w:rsidR="00813BB5" w:rsidRPr="003317EC">
        <w:lastRenderedPageBreak/>
        <w:t xml:space="preserve">The </w:t>
      </w:r>
      <w:r w:rsidR="00813BB5" w:rsidRPr="003317EC">
        <w:rPr>
          <w:b/>
        </w:rPr>
        <w:t xml:space="preserve">Perspective Plan of Bangladesh 2010-2021 </w:t>
      </w:r>
      <w:r w:rsidR="00813BB5" w:rsidRPr="003317EC">
        <w:t>of 2012</w:t>
      </w:r>
      <w:r w:rsidR="00813BB5">
        <w:rPr>
          <w:rStyle w:val="FootnoteReference"/>
        </w:rPr>
        <w:footnoteReference w:id="13"/>
      </w:r>
      <w:r w:rsidR="00813BB5" w:rsidRPr="003317EC">
        <w:t xml:space="preserve"> includes following strategies:</w:t>
      </w:r>
    </w:p>
    <w:p w:rsidR="00813BB5" w:rsidRPr="00ED2B30" w:rsidRDefault="00813BB5" w:rsidP="00813BB5">
      <w:pPr>
        <w:pStyle w:val="ListParagraph"/>
        <w:numPr>
          <w:ilvl w:val="0"/>
          <w:numId w:val="8"/>
        </w:numPr>
        <w:jc w:val="both"/>
        <w:rPr>
          <w:lang w:val="en-GB"/>
        </w:rPr>
      </w:pPr>
      <w:r w:rsidRPr="00ED2B30">
        <w:rPr>
          <w:lang w:val="en-GB"/>
        </w:rPr>
        <w:t>Expand and improve the railway system</w:t>
      </w:r>
      <w:r>
        <w:rPr>
          <w:lang w:val="en-GB"/>
        </w:rPr>
        <w:t xml:space="preserve"> with the goal of increasing the market share of freight and passenger transport of rail</w:t>
      </w:r>
      <w:r w:rsidRPr="00ED2B30">
        <w:rPr>
          <w:lang w:val="en-GB"/>
        </w:rPr>
        <w:t>;</w:t>
      </w:r>
    </w:p>
    <w:p w:rsidR="00813BB5" w:rsidRDefault="00813BB5" w:rsidP="00813BB5">
      <w:pPr>
        <w:pStyle w:val="ListParagraph"/>
        <w:numPr>
          <w:ilvl w:val="0"/>
          <w:numId w:val="8"/>
        </w:numPr>
        <w:jc w:val="both"/>
        <w:rPr>
          <w:lang w:val="en-GB"/>
        </w:rPr>
      </w:pPr>
      <w:r>
        <w:rPr>
          <w:lang w:val="en-GB"/>
        </w:rPr>
        <w:t>Establish a modern MRTS in Dhaka and increase the number of modern high-capacity buses.</w:t>
      </w:r>
    </w:p>
    <w:p w:rsidR="00813BB5" w:rsidRPr="003317EC" w:rsidRDefault="00813BB5" w:rsidP="00813BB5">
      <w:pPr>
        <w:jc w:val="both"/>
      </w:pPr>
      <w:r w:rsidRPr="003317EC">
        <w:rPr>
          <w:b/>
        </w:rPr>
        <w:t xml:space="preserve">Bangladesh’s Climate Change Strategy and Action Plan </w:t>
      </w:r>
      <w:r w:rsidR="00990CF2">
        <w:t>of 2009</w:t>
      </w:r>
      <w:r>
        <w:rPr>
          <w:rStyle w:val="FootnoteReference"/>
        </w:rPr>
        <w:footnoteReference w:id="14"/>
      </w:r>
      <w:r>
        <w:t xml:space="preserve"> identifies</w:t>
      </w:r>
      <w:r w:rsidRPr="003317EC">
        <w:t xml:space="preserve"> as mitigation area in the transport</w:t>
      </w:r>
      <w:r w:rsidR="00E6120B">
        <w:t>ation</w:t>
      </w:r>
      <w:r w:rsidRPr="003317EC">
        <w:t xml:space="preserve"> sector following actions:</w:t>
      </w:r>
    </w:p>
    <w:p w:rsidR="00813BB5" w:rsidRPr="00911AC4" w:rsidRDefault="00813BB5" w:rsidP="00813BB5">
      <w:pPr>
        <w:pStyle w:val="ListParagraph"/>
        <w:numPr>
          <w:ilvl w:val="0"/>
          <w:numId w:val="5"/>
        </w:numPr>
        <w:jc w:val="both"/>
        <w:rPr>
          <w:lang w:val="en-GB"/>
        </w:rPr>
      </w:pPr>
      <w:r w:rsidRPr="00911AC4">
        <w:rPr>
          <w:lang w:val="en-GB"/>
        </w:rPr>
        <w:t>Promotion of low cost PT;</w:t>
      </w:r>
    </w:p>
    <w:p w:rsidR="00813BB5" w:rsidRDefault="00813BB5" w:rsidP="00813BB5">
      <w:pPr>
        <w:pStyle w:val="ListParagraph"/>
        <w:numPr>
          <w:ilvl w:val="0"/>
          <w:numId w:val="5"/>
        </w:numPr>
        <w:jc w:val="both"/>
        <w:rPr>
          <w:lang w:val="en-GB"/>
        </w:rPr>
      </w:pPr>
      <w:r>
        <w:rPr>
          <w:lang w:val="en-GB"/>
        </w:rPr>
        <w:t>Improved energy efficiency of vehicles;</w:t>
      </w:r>
    </w:p>
    <w:p w:rsidR="00D11278" w:rsidRPr="00D11278" w:rsidRDefault="00813BB5" w:rsidP="00D11278">
      <w:pPr>
        <w:pStyle w:val="ListParagraph"/>
        <w:numPr>
          <w:ilvl w:val="0"/>
          <w:numId w:val="5"/>
        </w:numPr>
        <w:jc w:val="both"/>
        <w:rPr>
          <w:lang w:val="en-GB"/>
        </w:rPr>
      </w:pPr>
      <w:r>
        <w:rPr>
          <w:lang w:val="en-GB"/>
        </w:rPr>
        <w:t>Substitution of fossil fuels with biofuels.</w:t>
      </w:r>
    </w:p>
    <w:p w:rsidR="00813BB5" w:rsidRPr="003317EC" w:rsidRDefault="00813BB5" w:rsidP="00813BB5">
      <w:pPr>
        <w:jc w:val="both"/>
      </w:pPr>
      <w:r w:rsidRPr="003317EC">
        <w:t xml:space="preserve">The </w:t>
      </w:r>
      <w:r w:rsidRPr="003317EC">
        <w:rPr>
          <w:b/>
        </w:rPr>
        <w:t>National Integrated Multimodal Transport Policy</w:t>
      </w:r>
      <w:r w:rsidRPr="003317EC">
        <w:t xml:space="preserve"> of 2013</w:t>
      </w:r>
      <w:r>
        <w:rPr>
          <w:rStyle w:val="FootnoteReference"/>
        </w:rPr>
        <w:footnoteReference w:id="15"/>
      </w:r>
      <w:r w:rsidRPr="003317EC">
        <w:t xml:space="preserve"> </w:t>
      </w:r>
      <w:r w:rsidR="00D11278">
        <w:t xml:space="preserve">has recognized the need for shifting investment from the road network towards the rail sector and </w:t>
      </w:r>
      <w:r w:rsidRPr="003317EC">
        <w:t>includes following main elements</w:t>
      </w:r>
      <w:r>
        <w:t xml:space="preserve"> relevant for low-carbon transport</w:t>
      </w:r>
      <w:r w:rsidRPr="003317EC">
        <w:t>:</w:t>
      </w:r>
    </w:p>
    <w:p w:rsidR="00813BB5" w:rsidRDefault="00813BB5" w:rsidP="00813BB5">
      <w:pPr>
        <w:pStyle w:val="ListParagraph"/>
        <w:numPr>
          <w:ilvl w:val="0"/>
          <w:numId w:val="6"/>
        </w:numPr>
        <w:rPr>
          <w:lang w:val="en-GB"/>
        </w:rPr>
      </w:pPr>
      <w:r w:rsidRPr="001A628B">
        <w:rPr>
          <w:lang w:val="en-GB"/>
        </w:rPr>
        <w:t>Improved integration of transport modes</w:t>
      </w:r>
      <w:r>
        <w:rPr>
          <w:lang w:val="en-GB"/>
        </w:rPr>
        <w:t>;</w:t>
      </w:r>
    </w:p>
    <w:p w:rsidR="00813BB5" w:rsidRDefault="00813BB5" w:rsidP="00813BB5">
      <w:pPr>
        <w:pStyle w:val="ListParagraph"/>
        <w:numPr>
          <w:ilvl w:val="0"/>
          <w:numId w:val="6"/>
        </w:numPr>
        <w:jc w:val="both"/>
        <w:rPr>
          <w:lang w:val="en-GB"/>
        </w:rPr>
      </w:pPr>
      <w:r>
        <w:rPr>
          <w:lang w:val="en-GB"/>
        </w:rPr>
        <w:t>Establishment of a MRTS in Dhaka including smart ticketing, integration of different PT services and improved accessibility;</w:t>
      </w:r>
    </w:p>
    <w:p w:rsidR="00813BB5" w:rsidRDefault="00813BB5" w:rsidP="00813BB5">
      <w:pPr>
        <w:pStyle w:val="ListParagraph"/>
        <w:numPr>
          <w:ilvl w:val="0"/>
          <w:numId w:val="6"/>
        </w:numPr>
        <w:jc w:val="both"/>
        <w:rPr>
          <w:lang w:val="en-GB"/>
        </w:rPr>
      </w:pPr>
      <w:r>
        <w:rPr>
          <w:lang w:val="en-GB"/>
        </w:rPr>
        <w:t>Improved land-use planning and traffic management including parking policies and regulatory measures (e.g. charging levy);</w:t>
      </w:r>
    </w:p>
    <w:p w:rsidR="00813BB5" w:rsidRDefault="00813BB5" w:rsidP="00813BB5">
      <w:pPr>
        <w:pStyle w:val="ListParagraph"/>
        <w:numPr>
          <w:ilvl w:val="0"/>
          <w:numId w:val="6"/>
        </w:numPr>
        <w:rPr>
          <w:lang w:val="en-GB"/>
        </w:rPr>
      </w:pPr>
      <w:r>
        <w:rPr>
          <w:lang w:val="en-GB"/>
        </w:rPr>
        <w:t>Increased investment in railway and inland waterways.</w:t>
      </w:r>
    </w:p>
    <w:p w:rsidR="00D11278" w:rsidRDefault="00D11278" w:rsidP="00017317">
      <w:pPr>
        <w:jc w:val="both"/>
      </w:pPr>
      <w:r>
        <w:t xml:space="preserve">The </w:t>
      </w:r>
      <w:r w:rsidRPr="0022668F">
        <w:rPr>
          <w:b/>
        </w:rPr>
        <w:t>Railway Master Plan</w:t>
      </w:r>
      <w:r w:rsidR="00017317">
        <w:rPr>
          <w:rStyle w:val="FootnoteReference"/>
        </w:rPr>
        <w:footnoteReference w:id="16"/>
      </w:r>
      <w:r>
        <w:t xml:space="preserve"> focuses its attention on the main corridors where 90% of traffic takes place. In these corridors and especially in certain freight commodities </w:t>
      </w:r>
      <w:r w:rsidR="000157ED">
        <w:t>Bangladesh Railways (</w:t>
      </w:r>
      <w:r>
        <w:t>BR</w:t>
      </w:r>
      <w:r w:rsidR="000157ED">
        <w:t>)</w:t>
      </w:r>
      <w:r>
        <w:t xml:space="preserve"> wants to regain lost market share and improve its competitive position versus road. 235 projects costing 30 billion USD to be implemented during the period 2010 to 2030 have been included in the Rail Master Plan. </w:t>
      </w:r>
      <w:r w:rsidR="0022668F">
        <w:t>The long-term Master Plan focuses on the infrastructure requirement and is expected to guide the overall development of BR in the foreseeable future.</w:t>
      </w:r>
      <w:r>
        <w:t xml:space="preserve"> </w:t>
      </w:r>
    </w:p>
    <w:p w:rsidR="00D11278" w:rsidRDefault="0022668F" w:rsidP="0022668F">
      <w:pPr>
        <w:jc w:val="both"/>
      </w:pPr>
      <w:r>
        <w:t>The national climate change policies, development strategies and the relevant transport strategies all point to the importance of developing further rail transport. This is thereafter structured within the railway master plan which lays out the required infrastructure needs to implement the policies and strategies. Therefore, the rail NAMA is well embedded with</w:t>
      </w:r>
      <w:r w:rsidR="00E6120B">
        <w:t>in the national policies and st</w:t>
      </w:r>
      <w:r>
        <w:t>r</w:t>
      </w:r>
      <w:r w:rsidR="00E6120B">
        <w:t>a</w:t>
      </w:r>
      <w:r>
        <w:t xml:space="preserve">tegies and commensurate with </w:t>
      </w:r>
      <w:r w:rsidR="00E6120B">
        <w:t xml:space="preserve">the </w:t>
      </w:r>
      <w:r>
        <w:t>national development goals.</w:t>
      </w:r>
    </w:p>
    <w:p w:rsidR="0022668F" w:rsidRDefault="002A7ABF" w:rsidP="00AE23C4">
      <w:pPr>
        <w:pStyle w:val="Heading1"/>
        <w:numPr>
          <w:ilvl w:val="0"/>
          <w:numId w:val="1"/>
        </w:numPr>
      </w:pPr>
      <w:r>
        <w:br w:type="column"/>
      </w:r>
      <w:bookmarkStart w:id="9" w:name="_Toc466207335"/>
      <w:r w:rsidR="003620FC">
        <w:lastRenderedPageBreak/>
        <w:t>Snapshot of t</w:t>
      </w:r>
      <w:r w:rsidR="0022668F">
        <w:t>he Rail Sector in Bangladesh</w:t>
      </w:r>
      <w:bookmarkEnd w:id="9"/>
    </w:p>
    <w:p w:rsidR="0022668F" w:rsidRDefault="0022668F" w:rsidP="0022668F"/>
    <w:p w:rsidR="0022668F" w:rsidRDefault="000157ED" w:rsidP="000157ED">
      <w:pPr>
        <w:jc w:val="both"/>
      </w:pPr>
      <w:r>
        <w:t>BR has as of 2016 a network of 2,880 km of routes consisting of three different gauges of which 2,656</w:t>
      </w:r>
      <w:r w:rsidR="00E472F2">
        <w:t xml:space="preserve"> </w:t>
      </w:r>
      <w:r>
        <w:t>km are under operations</w:t>
      </w:r>
      <w:r>
        <w:rPr>
          <w:rStyle w:val="FootnoteReference"/>
        </w:rPr>
        <w:footnoteReference w:id="17"/>
      </w:r>
      <w:r>
        <w:t xml:space="preserve">. </w:t>
      </w:r>
      <w:r w:rsidR="00D95017">
        <w:t xml:space="preserve">8% of the route has double track or partial double track. </w:t>
      </w:r>
      <w:r>
        <w:t>Since 1970 the total route length has only varied marginally</w:t>
      </w:r>
      <w:r>
        <w:rPr>
          <w:rStyle w:val="FootnoteReference"/>
        </w:rPr>
        <w:footnoteReference w:id="18"/>
      </w:r>
      <w:r>
        <w:t>. The following figures show development of passenger and freight traffic since the 70</w:t>
      </w:r>
      <w:r w:rsidRPr="002A7ABF">
        <w:rPr>
          <w:vertAlign w:val="superscript"/>
        </w:rPr>
        <w:t>ties</w:t>
      </w:r>
      <w:r>
        <w:t>.</w:t>
      </w:r>
    </w:p>
    <w:p w:rsidR="00713352" w:rsidRPr="000157ED" w:rsidRDefault="000157ED" w:rsidP="000157ED">
      <w:pPr>
        <w:pStyle w:val="NoSpacing"/>
        <w:rPr>
          <w:b/>
          <w:sz w:val="20"/>
        </w:rPr>
      </w:pPr>
      <w:r w:rsidRPr="000157ED">
        <w:rPr>
          <w:b/>
          <w:sz w:val="20"/>
        </w:rPr>
        <w:t xml:space="preserve">Figure </w:t>
      </w:r>
      <w:r w:rsidRPr="000157ED">
        <w:rPr>
          <w:b/>
          <w:sz w:val="20"/>
        </w:rPr>
        <w:fldChar w:fldCharType="begin"/>
      </w:r>
      <w:r w:rsidRPr="000157ED">
        <w:rPr>
          <w:b/>
          <w:sz w:val="20"/>
        </w:rPr>
        <w:instrText xml:space="preserve"> SEQ Figure \* ARABIC </w:instrText>
      </w:r>
      <w:r w:rsidRPr="000157ED">
        <w:rPr>
          <w:b/>
          <w:sz w:val="20"/>
        </w:rPr>
        <w:fldChar w:fldCharType="separate"/>
      </w:r>
      <w:r w:rsidR="00AC6EDE">
        <w:rPr>
          <w:b/>
          <w:noProof/>
          <w:sz w:val="20"/>
        </w:rPr>
        <w:t>5</w:t>
      </w:r>
      <w:r w:rsidRPr="000157ED">
        <w:rPr>
          <w:b/>
          <w:sz w:val="20"/>
        </w:rPr>
        <w:fldChar w:fldCharType="end"/>
      </w:r>
      <w:r w:rsidRPr="000157ED">
        <w:rPr>
          <w:b/>
          <w:sz w:val="20"/>
        </w:rPr>
        <w:t>: Freight and Passenger Movement BR</w:t>
      </w:r>
    </w:p>
    <w:p w:rsidR="000157ED" w:rsidRDefault="000157ED" w:rsidP="000157ED">
      <w:pPr>
        <w:pStyle w:val="NoSpacing"/>
        <w:rPr>
          <w:sz w:val="20"/>
        </w:rPr>
      </w:pPr>
      <w:r w:rsidRPr="000157ED">
        <w:rPr>
          <w:noProof/>
          <w:sz w:val="20"/>
          <w:lang w:eastAsia="en-GB"/>
        </w:rPr>
        <w:drawing>
          <wp:inline distT="0" distB="0" distL="0" distR="0" wp14:anchorId="4A5DA884" wp14:editId="0616A54D">
            <wp:extent cx="5680710" cy="2743200"/>
            <wp:effectExtent l="0" t="0" r="1524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0157ED" w:rsidRDefault="002A7ABF" w:rsidP="000157ED">
      <w:pPr>
        <w:pStyle w:val="NoSpacing"/>
        <w:rPr>
          <w:sz w:val="20"/>
        </w:rPr>
      </w:pPr>
      <w:r>
        <w:rPr>
          <w:sz w:val="20"/>
        </w:rPr>
        <w:t>Source: BR, various Yearbooks</w:t>
      </w:r>
    </w:p>
    <w:p w:rsidR="002A7ABF" w:rsidRDefault="002A7ABF" w:rsidP="000157ED">
      <w:pPr>
        <w:pStyle w:val="NoSpacing"/>
        <w:rPr>
          <w:sz w:val="20"/>
        </w:rPr>
      </w:pPr>
    </w:p>
    <w:p w:rsidR="002A7ABF" w:rsidRDefault="002A7ABF" w:rsidP="002A7ABF">
      <w:pPr>
        <w:jc w:val="both"/>
      </w:pPr>
      <w:r>
        <w:t>The freight mo</w:t>
      </w:r>
      <w:r w:rsidR="00E472F2">
        <w:t xml:space="preserve">vement has remained constant </w:t>
      </w:r>
      <w:r>
        <w:t xml:space="preserve">since the mid seventies at </w:t>
      </w:r>
      <w:r w:rsidR="00E472F2">
        <w:t xml:space="preserve">around </w:t>
      </w:r>
      <w:r w:rsidR="00704742">
        <w:t xml:space="preserve">700 million </w:t>
      </w:r>
      <w:r>
        <w:t>tkm per annum transporting 2.5 to 3.5 million tons of goods over a le</w:t>
      </w:r>
      <w:r w:rsidR="00E472F2">
        <w:t>a</w:t>
      </w:r>
      <w:r>
        <w:t>d distance of 250</w:t>
      </w:r>
      <w:r w:rsidR="00E472F2">
        <w:t xml:space="preserve"> </w:t>
      </w:r>
      <w:r>
        <w:t xml:space="preserve">km. Passenger movement has increased in the last decade reaching </w:t>
      </w:r>
      <w:r w:rsidR="00704742">
        <w:t xml:space="preserve">8 billion </w:t>
      </w:r>
      <w:r w:rsidR="00E472F2">
        <w:t xml:space="preserve">pkm with around </w:t>
      </w:r>
      <w:r>
        <w:t>65 million passengers and a lead distance of 130</w:t>
      </w:r>
      <w:r w:rsidR="00E472F2">
        <w:t xml:space="preserve"> </w:t>
      </w:r>
      <w:r>
        <w:t xml:space="preserve">km. Compared to the seventies the passenger number has dropped but the lead distance has more than doubled thus resulting in increased pkm. </w:t>
      </w:r>
      <w:r w:rsidR="007C5AB2">
        <w:t>In the same period however</w:t>
      </w:r>
      <w:r w:rsidR="00E472F2">
        <w:t xml:space="preserve"> the</w:t>
      </w:r>
      <w:r w:rsidR="007C5AB2">
        <w:t xml:space="preserve"> population of Bangladesh increased by the factor 2.5 from around 65 million inhabitants </w:t>
      </w:r>
      <w:r w:rsidR="00E472F2">
        <w:t xml:space="preserve">in </w:t>
      </w:r>
      <w:r w:rsidR="007C5AB2">
        <w:t>1970 to nearly 170 million in 2015</w:t>
      </w:r>
      <w:r w:rsidR="007C5AB2">
        <w:rPr>
          <w:rStyle w:val="FootnoteReference"/>
        </w:rPr>
        <w:footnoteReference w:id="19"/>
      </w:r>
      <w:r w:rsidR="007C5AB2">
        <w:t xml:space="preserve"> whilst GDP at constant prices increased by </w:t>
      </w:r>
      <w:r w:rsidR="00E472F2">
        <w:t>factor 6 in the</w:t>
      </w:r>
      <w:r w:rsidR="007C5AB2">
        <w:t xml:space="preserve"> </w:t>
      </w:r>
      <w:r w:rsidR="00E472F2">
        <w:t xml:space="preserve">same </w:t>
      </w:r>
      <w:r w:rsidR="007C5AB2">
        <w:t>period</w:t>
      </w:r>
      <w:r w:rsidR="007C5AB2">
        <w:rPr>
          <w:rStyle w:val="FootnoteReference"/>
        </w:rPr>
        <w:footnoteReference w:id="20"/>
      </w:r>
      <w:r w:rsidR="007C5AB2">
        <w:t>.</w:t>
      </w:r>
    </w:p>
    <w:p w:rsidR="002A7ABF" w:rsidRDefault="002A7ABF" w:rsidP="002A7ABF">
      <w:pPr>
        <w:jc w:val="both"/>
      </w:pPr>
      <w:r>
        <w:t>BR manages around 300 diesel locomotives, 1,500 passenger carriages and nearly 10,000 freight wagons.</w:t>
      </w:r>
      <w:r w:rsidR="00D95017">
        <w:t xml:space="preserve"> Wagons carry a maximum load of 40 tons. The average freight train speed is 23 km/h. The average speed of passenger trains is around 32km/h. Low punctuality is a matter of great concern for rail customers.</w:t>
      </w:r>
    </w:p>
    <w:p w:rsidR="00D95017" w:rsidRPr="000157ED" w:rsidRDefault="00D95017" w:rsidP="002A7ABF">
      <w:pPr>
        <w:jc w:val="both"/>
      </w:pPr>
      <w:r>
        <w:t xml:space="preserve">Rail share of freight transport has dropped </w:t>
      </w:r>
      <w:r w:rsidR="0099287A">
        <w:t>significantly in the last few decades and now reaches only around 4% in terms of passenger and freight numbers compared to more than 80% of road transport</w:t>
      </w:r>
      <w:r w:rsidR="0099287A">
        <w:rPr>
          <w:rStyle w:val="FootnoteReference"/>
        </w:rPr>
        <w:footnoteReference w:id="21"/>
      </w:r>
      <w:r w:rsidR="0099287A">
        <w:t>.</w:t>
      </w:r>
    </w:p>
    <w:p w:rsidR="00AE23C4" w:rsidRDefault="00AE23C4" w:rsidP="00AE23C4">
      <w:pPr>
        <w:pStyle w:val="Heading1"/>
        <w:numPr>
          <w:ilvl w:val="0"/>
          <w:numId w:val="1"/>
        </w:numPr>
      </w:pPr>
      <w:bookmarkStart w:id="10" w:name="_Toc466207336"/>
      <w:r>
        <w:lastRenderedPageBreak/>
        <w:t>Objectives</w:t>
      </w:r>
      <w:r w:rsidR="0099287A">
        <w:t>, Targets and Actions</w:t>
      </w:r>
      <w:r w:rsidR="00E472F2">
        <w:t xml:space="preserve"> of the NAMA</w:t>
      </w:r>
      <w:bookmarkEnd w:id="10"/>
    </w:p>
    <w:p w:rsidR="00AE23C4" w:rsidRDefault="00AE23C4" w:rsidP="00AE23C4"/>
    <w:p w:rsidR="0099287A" w:rsidRDefault="0099287A" w:rsidP="00C65AD2">
      <w:pPr>
        <w:jc w:val="both"/>
      </w:pPr>
      <w:r>
        <w:t xml:space="preserve">The overall objective </w:t>
      </w:r>
      <w:r w:rsidR="00E472F2">
        <w:t xml:space="preserve">of the NAMA </w:t>
      </w:r>
      <w:r>
        <w:t xml:space="preserve">is to increase the role of railway in the transport sector of Bangladesh. This shall be realized through expansion of railway infrastructure and increased railway efficiency. </w:t>
      </w:r>
      <w:r w:rsidR="00C65AD2">
        <w:t xml:space="preserve">The focus </w:t>
      </w:r>
      <w:r w:rsidR="00E472F2">
        <w:t>is</w:t>
      </w:r>
      <w:r w:rsidR="00C65AD2">
        <w:t xml:space="preserve"> on inter-city passengers and long-haul freight along specific corridors as these are the areas where rail is considered to have a potential competitive advantage.</w:t>
      </w:r>
    </w:p>
    <w:p w:rsidR="00C65AD2" w:rsidRDefault="00C65AD2" w:rsidP="00C65AD2">
      <w:pPr>
        <w:jc w:val="both"/>
      </w:pPr>
      <w:r>
        <w:t>The strategic approach includes</w:t>
      </w:r>
      <w:r w:rsidR="00A55028">
        <w:rPr>
          <w:rStyle w:val="FootnoteReference"/>
        </w:rPr>
        <w:footnoteReference w:id="22"/>
      </w:r>
      <w:r>
        <w:t>:</w:t>
      </w:r>
    </w:p>
    <w:p w:rsidR="00A55028" w:rsidRDefault="00C65AD2" w:rsidP="00C65AD2">
      <w:pPr>
        <w:pStyle w:val="ListParagraph"/>
        <w:numPr>
          <w:ilvl w:val="0"/>
          <w:numId w:val="9"/>
        </w:numPr>
        <w:jc w:val="both"/>
        <w:rPr>
          <w:lang w:val="en-GB"/>
        </w:rPr>
      </w:pPr>
      <w:r w:rsidRPr="00C65AD2">
        <w:rPr>
          <w:lang w:val="en-GB"/>
        </w:rPr>
        <w:t>Focus on major corridors</w:t>
      </w:r>
      <w:r w:rsidR="00A55028">
        <w:rPr>
          <w:lang w:val="en-GB"/>
        </w:rPr>
        <w:t xml:space="preserve"> (exis</w:t>
      </w:r>
      <w:r w:rsidRPr="00C65AD2">
        <w:rPr>
          <w:lang w:val="en-GB"/>
        </w:rPr>
        <w:t>ting and new proposed corridors</w:t>
      </w:r>
      <w:r>
        <w:rPr>
          <w:rStyle w:val="FootnoteReference"/>
          <w:lang w:val="en-GB"/>
        </w:rPr>
        <w:footnoteReference w:id="23"/>
      </w:r>
      <w:r w:rsidRPr="00C65AD2">
        <w:rPr>
          <w:lang w:val="en-GB"/>
        </w:rPr>
        <w:t>)</w:t>
      </w:r>
      <w:r w:rsidR="00A55028">
        <w:rPr>
          <w:lang w:val="en-GB"/>
        </w:rPr>
        <w:t>;</w:t>
      </w:r>
    </w:p>
    <w:p w:rsidR="00A55028" w:rsidRDefault="00A55028" w:rsidP="00C65AD2">
      <w:pPr>
        <w:pStyle w:val="ListParagraph"/>
        <w:numPr>
          <w:ilvl w:val="0"/>
          <w:numId w:val="9"/>
        </w:numPr>
        <w:jc w:val="both"/>
        <w:rPr>
          <w:lang w:val="en-GB"/>
        </w:rPr>
      </w:pPr>
      <w:r>
        <w:rPr>
          <w:lang w:val="en-GB"/>
        </w:rPr>
        <w:t>Focus on major commodities;</w:t>
      </w:r>
    </w:p>
    <w:p w:rsidR="00C65AD2" w:rsidRDefault="00A55028" w:rsidP="00C65AD2">
      <w:pPr>
        <w:pStyle w:val="ListParagraph"/>
        <w:numPr>
          <w:ilvl w:val="0"/>
          <w:numId w:val="9"/>
        </w:numPr>
        <w:jc w:val="both"/>
        <w:rPr>
          <w:lang w:val="en-GB"/>
        </w:rPr>
      </w:pPr>
      <w:r>
        <w:rPr>
          <w:lang w:val="en-GB"/>
        </w:rPr>
        <w:t>Gauge rationalization</w:t>
      </w:r>
      <w:r w:rsidR="00C65AD2" w:rsidRPr="00C65AD2">
        <w:rPr>
          <w:lang w:val="en-GB"/>
        </w:rPr>
        <w:t xml:space="preserve"> </w:t>
      </w:r>
      <w:r>
        <w:rPr>
          <w:lang w:val="en-GB"/>
        </w:rPr>
        <w:t>focusing on Broad Gauge for the entire country;</w:t>
      </w:r>
    </w:p>
    <w:p w:rsidR="00A55028" w:rsidRDefault="00A55028" w:rsidP="00C65AD2">
      <w:pPr>
        <w:pStyle w:val="ListParagraph"/>
        <w:numPr>
          <w:ilvl w:val="0"/>
          <w:numId w:val="9"/>
        </w:numPr>
        <w:jc w:val="both"/>
        <w:rPr>
          <w:lang w:val="en-GB"/>
        </w:rPr>
      </w:pPr>
      <w:r>
        <w:rPr>
          <w:lang w:val="en-GB"/>
        </w:rPr>
        <w:t>Unlocking of capacity constraints e.g. through double tracking;</w:t>
      </w:r>
    </w:p>
    <w:p w:rsidR="00A55028" w:rsidRDefault="00A55028" w:rsidP="00C65AD2">
      <w:pPr>
        <w:pStyle w:val="ListParagraph"/>
        <w:numPr>
          <w:ilvl w:val="0"/>
          <w:numId w:val="9"/>
        </w:numPr>
        <w:jc w:val="both"/>
        <w:rPr>
          <w:lang w:val="en-GB"/>
        </w:rPr>
      </w:pPr>
      <w:r>
        <w:rPr>
          <w:lang w:val="en-GB"/>
        </w:rPr>
        <w:t>Construction of important new links;</w:t>
      </w:r>
    </w:p>
    <w:p w:rsidR="00A55028" w:rsidRDefault="00A55028" w:rsidP="00C65AD2">
      <w:pPr>
        <w:pStyle w:val="ListParagraph"/>
        <w:numPr>
          <w:ilvl w:val="0"/>
          <w:numId w:val="9"/>
        </w:numPr>
        <w:jc w:val="both"/>
        <w:rPr>
          <w:lang w:val="en-GB"/>
        </w:rPr>
      </w:pPr>
      <w:r>
        <w:rPr>
          <w:lang w:val="en-GB"/>
        </w:rPr>
        <w:t>Re-commissioning of track</w:t>
      </w:r>
      <w:r w:rsidR="00E472F2">
        <w:rPr>
          <w:lang w:val="en-GB"/>
        </w:rPr>
        <w:t>s</w:t>
      </w:r>
      <w:r>
        <w:rPr>
          <w:lang w:val="en-GB"/>
        </w:rPr>
        <w:t>;</w:t>
      </w:r>
    </w:p>
    <w:p w:rsidR="00A55028" w:rsidRDefault="00A55028" w:rsidP="00C65AD2">
      <w:pPr>
        <w:pStyle w:val="ListParagraph"/>
        <w:numPr>
          <w:ilvl w:val="0"/>
          <w:numId w:val="9"/>
        </w:numPr>
        <w:jc w:val="both"/>
        <w:rPr>
          <w:lang w:val="en-GB"/>
        </w:rPr>
      </w:pPr>
      <w:r>
        <w:rPr>
          <w:lang w:val="en-GB"/>
        </w:rPr>
        <w:t>Priority on maintenance and rehabilitation of infrastructure;</w:t>
      </w:r>
    </w:p>
    <w:p w:rsidR="00A55028" w:rsidRDefault="00A55028" w:rsidP="00C65AD2">
      <w:pPr>
        <w:pStyle w:val="ListParagraph"/>
        <w:numPr>
          <w:ilvl w:val="0"/>
          <w:numId w:val="9"/>
        </w:numPr>
        <w:jc w:val="both"/>
        <w:rPr>
          <w:lang w:val="en-GB"/>
        </w:rPr>
      </w:pPr>
      <w:r>
        <w:rPr>
          <w:lang w:val="en-GB"/>
        </w:rPr>
        <w:t>Maintenance and procurement of rolling stock;</w:t>
      </w:r>
    </w:p>
    <w:p w:rsidR="007F4A09" w:rsidRDefault="007F4A09" w:rsidP="00A55028">
      <w:pPr>
        <w:jc w:val="both"/>
      </w:pPr>
      <w:r>
        <w:t>The main infrastructure targets and actions are summarized in the following table.</w:t>
      </w:r>
    </w:p>
    <w:p w:rsidR="007F4A09" w:rsidRPr="00F544A8" w:rsidRDefault="00F544A8" w:rsidP="00F544A8">
      <w:pPr>
        <w:pStyle w:val="NoSpacing"/>
        <w:rPr>
          <w:b/>
          <w:sz w:val="20"/>
        </w:rPr>
      </w:pPr>
      <w:r w:rsidRPr="00F544A8">
        <w:rPr>
          <w:b/>
          <w:sz w:val="20"/>
        </w:rPr>
        <w:t xml:space="preserve">Table </w:t>
      </w:r>
      <w:r w:rsidRPr="00F544A8">
        <w:rPr>
          <w:b/>
          <w:sz w:val="20"/>
        </w:rPr>
        <w:fldChar w:fldCharType="begin"/>
      </w:r>
      <w:r w:rsidRPr="00F544A8">
        <w:rPr>
          <w:b/>
          <w:sz w:val="20"/>
        </w:rPr>
        <w:instrText xml:space="preserve"> SEQ Table \* ARABIC </w:instrText>
      </w:r>
      <w:r w:rsidRPr="00F544A8">
        <w:rPr>
          <w:b/>
          <w:sz w:val="20"/>
        </w:rPr>
        <w:fldChar w:fldCharType="separate"/>
      </w:r>
      <w:r w:rsidR="00AC6EDE">
        <w:rPr>
          <w:b/>
          <w:noProof/>
          <w:sz w:val="20"/>
        </w:rPr>
        <w:t>2</w:t>
      </w:r>
      <w:r w:rsidRPr="00F544A8">
        <w:rPr>
          <w:b/>
          <w:sz w:val="20"/>
        </w:rPr>
        <w:fldChar w:fldCharType="end"/>
      </w:r>
      <w:r w:rsidR="007F4A09" w:rsidRPr="00F544A8">
        <w:rPr>
          <w:b/>
          <w:sz w:val="20"/>
        </w:rPr>
        <w:t>: Infrastructure Targets and Actions Planned</w:t>
      </w:r>
    </w:p>
    <w:tbl>
      <w:tblPr>
        <w:tblStyle w:val="TableGrid"/>
        <w:tblW w:w="9067"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4101"/>
        <w:gridCol w:w="4966"/>
      </w:tblGrid>
      <w:tr w:rsidR="00EB6E37" w:rsidRPr="007F4A09" w:rsidTr="004867E0">
        <w:tc>
          <w:tcPr>
            <w:tcW w:w="4101" w:type="dxa"/>
            <w:shd w:val="clear" w:color="auto" w:fill="DEEAF6" w:themeFill="accent1" w:themeFillTint="33"/>
          </w:tcPr>
          <w:p w:rsidR="00EB6E37" w:rsidRPr="007F4A09" w:rsidRDefault="00EB6E37" w:rsidP="007F4A09">
            <w:pPr>
              <w:pStyle w:val="NoSpacing"/>
              <w:rPr>
                <w:b/>
                <w:sz w:val="20"/>
              </w:rPr>
            </w:pPr>
            <w:r>
              <w:rPr>
                <w:b/>
                <w:sz w:val="20"/>
              </w:rPr>
              <w:t>Corridor</w:t>
            </w:r>
          </w:p>
        </w:tc>
        <w:tc>
          <w:tcPr>
            <w:tcW w:w="4966" w:type="dxa"/>
            <w:shd w:val="clear" w:color="auto" w:fill="DEEAF6" w:themeFill="accent1" w:themeFillTint="33"/>
          </w:tcPr>
          <w:p w:rsidR="00EB6E37" w:rsidRPr="007F4A09" w:rsidRDefault="00EB6E37" w:rsidP="007F4A09">
            <w:pPr>
              <w:pStyle w:val="NoSpacing"/>
              <w:rPr>
                <w:b/>
                <w:sz w:val="20"/>
              </w:rPr>
            </w:pPr>
            <w:r w:rsidRPr="007F4A09">
              <w:rPr>
                <w:b/>
                <w:sz w:val="20"/>
              </w:rPr>
              <w:t>Actions</w:t>
            </w:r>
          </w:p>
        </w:tc>
      </w:tr>
      <w:tr w:rsidR="00EB6E37" w:rsidRPr="007F4A09" w:rsidTr="004867E0">
        <w:tc>
          <w:tcPr>
            <w:tcW w:w="4101" w:type="dxa"/>
          </w:tcPr>
          <w:p w:rsidR="00EB6E37" w:rsidRPr="007F4A09" w:rsidRDefault="00EB6E37" w:rsidP="007F4A09">
            <w:pPr>
              <w:pStyle w:val="NoSpacing"/>
              <w:rPr>
                <w:sz w:val="20"/>
              </w:rPr>
            </w:pPr>
            <w:r>
              <w:rPr>
                <w:sz w:val="20"/>
              </w:rPr>
              <w:t>Corridor 1: Dhaka-Chittagong</w:t>
            </w:r>
          </w:p>
        </w:tc>
        <w:tc>
          <w:tcPr>
            <w:tcW w:w="4966" w:type="dxa"/>
          </w:tcPr>
          <w:p w:rsidR="00EB6E37" w:rsidRPr="007F4A09" w:rsidRDefault="00B54DE4" w:rsidP="007F4A09">
            <w:pPr>
              <w:pStyle w:val="NoSpacing"/>
              <w:rPr>
                <w:sz w:val="20"/>
              </w:rPr>
            </w:pPr>
            <w:r>
              <w:rPr>
                <w:sz w:val="20"/>
              </w:rPr>
              <w:t>209</w:t>
            </w:r>
            <w:r w:rsidR="00EB6E37">
              <w:rPr>
                <w:sz w:val="20"/>
              </w:rPr>
              <w:t>km of double tracking; construction of 3</w:t>
            </w:r>
            <w:r w:rsidR="00EB6E37" w:rsidRPr="00EB6E37">
              <w:rPr>
                <w:sz w:val="20"/>
                <w:vertAlign w:val="superscript"/>
              </w:rPr>
              <w:t>rd</w:t>
            </w:r>
            <w:r w:rsidR="00EB6E37">
              <w:rPr>
                <w:sz w:val="20"/>
              </w:rPr>
              <w:t xml:space="preserve"> and 4</w:t>
            </w:r>
            <w:r w:rsidR="00EB6E37" w:rsidRPr="00EB6E37">
              <w:rPr>
                <w:sz w:val="20"/>
                <w:vertAlign w:val="superscript"/>
              </w:rPr>
              <w:t>th</w:t>
            </w:r>
            <w:r w:rsidR="00EB6E37">
              <w:rPr>
                <w:sz w:val="20"/>
              </w:rPr>
              <w:t xml:space="preserve"> line from Dhaka to Tongi and potentially line extension of 102km to Cox’s Bazar.</w:t>
            </w:r>
          </w:p>
        </w:tc>
      </w:tr>
      <w:tr w:rsidR="00EB6E37" w:rsidRPr="007F4A09" w:rsidTr="004867E0">
        <w:tc>
          <w:tcPr>
            <w:tcW w:w="4101" w:type="dxa"/>
          </w:tcPr>
          <w:p w:rsidR="00EB6E37" w:rsidRPr="007F4A09" w:rsidRDefault="00EB6E37" w:rsidP="007F4A09">
            <w:pPr>
              <w:pStyle w:val="NoSpacing"/>
              <w:rPr>
                <w:sz w:val="20"/>
              </w:rPr>
            </w:pPr>
            <w:r>
              <w:rPr>
                <w:sz w:val="20"/>
              </w:rPr>
              <w:t>Corridor 2: Chilahati-Ishurdi-Khulna-Mongla</w:t>
            </w:r>
          </w:p>
        </w:tc>
        <w:tc>
          <w:tcPr>
            <w:tcW w:w="4966" w:type="dxa"/>
          </w:tcPr>
          <w:p w:rsidR="00EB6E37" w:rsidRPr="007F4A09" w:rsidRDefault="007723BA" w:rsidP="007F4A09">
            <w:pPr>
              <w:pStyle w:val="NoSpacing"/>
              <w:rPr>
                <w:sz w:val="20"/>
              </w:rPr>
            </w:pPr>
            <w:r>
              <w:rPr>
                <w:sz w:val="20"/>
              </w:rPr>
              <w:t>Rehabilitation and modernisation of 52km section of the corridor and extension to Mongla Port.</w:t>
            </w:r>
          </w:p>
        </w:tc>
      </w:tr>
      <w:tr w:rsidR="00EB6E37" w:rsidRPr="007723BA" w:rsidTr="004867E0">
        <w:tc>
          <w:tcPr>
            <w:tcW w:w="4101" w:type="dxa"/>
          </w:tcPr>
          <w:p w:rsidR="00EB6E37" w:rsidRPr="007723BA" w:rsidRDefault="007723BA" w:rsidP="007F4A09">
            <w:pPr>
              <w:pStyle w:val="NoSpacing"/>
              <w:rPr>
                <w:sz w:val="20"/>
                <w:lang w:val="es-ES"/>
              </w:rPr>
            </w:pPr>
            <w:r w:rsidRPr="007723BA">
              <w:rPr>
                <w:sz w:val="20"/>
                <w:lang w:val="es-ES"/>
              </w:rPr>
              <w:t>Corridor 3: Dhaka-Bangabandhu Bridge-Darsana/Benapole</w:t>
            </w:r>
          </w:p>
        </w:tc>
        <w:tc>
          <w:tcPr>
            <w:tcW w:w="4966" w:type="dxa"/>
          </w:tcPr>
          <w:p w:rsidR="00EB6E37" w:rsidRPr="007723BA" w:rsidRDefault="007723BA" w:rsidP="007F4A09">
            <w:pPr>
              <w:pStyle w:val="NoSpacing"/>
              <w:rPr>
                <w:sz w:val="20"/>
              </w:rPr>
            </w:pPr>
            <w:r w:rsidRPr="007723BA">
              <w:rPr>
                <w:sz w:val="20"/>
              </w:rPr>
              <w:t>Line rehabilitation and a</w:t>
            </w:r>
            <w:r w:rsidR="00883B9F">
              <w:rPr>
                <w:sz w:val="20"/>
              </w:rPr>
              <w:t xml:space="preserve"> </w:t>
            </w:r>
            <w:r w:rsidRPr="007723BA">
              <w:rPr>
                <w:sz w:val="20"/>
              </w:rPr>
              <w:t>p</w:t>
            </w:r>
            <w:r w:rsidR="00883B9F">
              <w:rPr>
                <w:sz w:val="20"/>
              </w:rPr>
              <w:t>a</w:t>
            </w:r>
            <w:r w:rsidRPr="007723BA">
              <w:rPr>
                <w:sz w:val="20"/>
              </w:rPr>
              <w:t>rtial construction of double line.</w:t>
            </w:r>
          </w:p>
        </w:tc>
      </w:tr>
      <w:tr w:rsidR="00EB6E37" w:rsidRPr="007723BA" w:rsidTr="004867E0">
        <w:tc>
          <w:tcPr>
            <w:tcW w:w="4101" w:type="dxa"/>
          </w:tcPr>
          <w:p w:rsidR="00EB6E37" w:rsidRPr="007723BA" w:rsidRDefault="007723BA" w:rsidP="007723BA">
            <w:pPr>
              <w:pStyle w:val="NoSpacing"/>
              <w:rPr>
                <w:sz w:val="20"/>
              </w:rPr>
            </w:pPr>
            <w:r w:rsidRPr="007723BA">
              <w:rPr>
                <w:sz w:val="20"/>
              </w:rPr>
              <w:t>Corridor 4: Dhaka- Bangabandhu Bridge-Rajshahi-Ronapur and -Ishurdi-Parbatipur-Chilahati/Birol</w:t>
            </w:r>
          </w:p>
        </w:tc>
        <w:tc>
          <w:tcPr>
            <w:tcW w:w="4966" w:type="dxa"/>
          </w:tcPr>
          <w:p w:rsidR="00EB6E37" w:rsidRPr="007723BA" w:rsidRDefault="007723BA" w:rsidP="007F4A09">
            <w:pPr>
              <w:pStyle w:val="NoSpacing"/>
              <w:rPr>
                <w:sz w:val="20"/>
              </w:rPr>
            </w:pPr>
            <w:r>
              <w:rPr>
                <w:sz w:val="20"/>
              </w:rPr>
              <w:t>Rehabilitation and replacement of major infrastructure along the line and partial double line.</w:t>
            </w:r>
          </w:p>
        </w:tc>
      </w:tr>
      <w:tr w:rsidR="007723BA" w:rsidRPr="007723BA" w:rsidTr="004867E0">
        <w:tc>
          <w:tcPr>
            <w:tcW w:w="4101" w:type="dxa"/>
          </w:tcPr>
          <w:p w:rsidR="007723BA" w:rsidRPr="007723BA" w:rsidRDefault="007723BA" w:rsidP="007723BA">
            <w:pPr>
              <w:pStyle w:val="NoSpacing"/>
              <w:rPr>
                <w:sz w:val="20"/>
              </w:rPr>
            </w:pPr>
            <w:r>
              <w:rPr>
                <w:sz w:val="20"/>
              </w:rPr>
              <w:t>Corridor 5: Dhaka-Sylhet/Shahbazpur</w:t>
            </w:r>
          </w:p>
        </w:tc>
        <w:tc>
          <w:tcPr>
            <w:tcW w:w="4966" w:type="dxa"/>
          </w:tcPr>
          <w:p w:rsidR="007723BA" w:rsidRDefault="00B94C94" w:rsidP="007F4A09">
            <w:pPr>
              <w:pStyle w:val="NoSpacing"/>
              <w:rPr>
                <w:sz w:val="20"/>
              </w:rPr>
            </w:pPr>
            <w:r>
              <w:rPr>
                <w:sz w:val="20"/>
              </w:rPr>
              <w:t>Re-commission</w:t>
            </w:r>
            <w:r w:rsidR="007723BA">
              <w:rPr>
                <w:sz w:val="20"/>
              </w:rPr>
              <w:t>ing of part of the line</w:t>
            </w:r>
            <w:r>
              <w:rPr>
                <w:sz w:val="20"/>
              </w:rPr>
              <w:t>; gauge conversion; infrastructure rehabilitation</w:t>
            </w:r>
          </w:p>
        </w:tc>
      </w:tr>
      <w:tr w:rsidR="00B94C94" w:rsidRPr="007723BA" w:rsidTr="004867E0">
        <w:tc>
          <w:tcPr>
            <w:tcW w:w="4101" w:type="dxa"/>
          </w:tcPr>
          <w:p w:rsidR="00B94C94" w:rsidRDefault="00B94C94" w:rsidP="007723BA">
            <w:pPr>
              <w:pStyle w:val="NoSpacing"/>
              <w:rPr>
                <w:sz w:val="20"/>
              </w:rPr>
            </w:pPr>
            <w:r>
              <w:rPr>
                <w:sz w:val="20"/>
              </w:rPr>
              <w:t>Corridor 6: Dhaka-Bangabandhu Bridge-Sirajganj/Rojpur-Bogra-Lalmonirhat-Burimari</w:t>
            </w:r>
          </w:p>
        </w:tc>
        <w:tc>
          <w:tcPr>
            <w:tcW w:w="4966" w:type="dxa"/>
          </w:tcPr>
          <w:p w:rsidR="00B94C94" w:rsidRDefault="00B94C94" w:rsidP="007F4A09">
            <w:pPr>
              <w:pStyle w:val="NoSpacing"/>
              <w:rPr>
                <w:sz w:val="20"/>
              </w:rPr>
            </w:pPr>
            <w:r>
              <w:rPr>
                <w:sz w:val="20"/>
              </w:rPr>
              <w:t>66km of new rail line and rehabilitation and modernisation of other sections</w:t>
            </w:r>
          </w:p>
        </w:tc>
      </w:tr>
      <w:tr w:rsidR="00B94C94" w:rsidRPr="00B94C94" w:rsidTr="004867E0">
        <w:tc>
          <w:tcPr>
            <w:tcW w:w="4101" w:type="dxa"/>
          </w:tcPr>
          <w:p w:rsidR="00B94C94" w:rsidRPr="00B94C94" w:rsidRDefault="00B94C94" w:rsidP="007723BA">
            <w:pPr>
              <w:pStyle w:val="NoSpacing"/>
              <w:rPr>
                <w:sz w:val="20"/>
              </w:rPr>
            </w:pPr>
            <w:r w:rsidRPr="00B94C94">
              <w:rPr>
                <w:sz w:val="20"/>
              </w:rPr>
              <w:t>Corridor 7: Dhaka-Mawa-Jajira-Bhanga-Jessore-Khulna-Mongla / Jessore-Benapole / Bhanga-Barisal / Bhanga-Kashiani-Gopalgonj-Tungipara</w:t>
            </w:r>
          </w:p>
        </w:tc>
        <w:tc>
          <w:tcPr>
            <w:tcW w:w="4966" w:type="dxa"/>
          </w:tcPr>
          <w:p w:rsidR="00B94C94" w:rsidRPr="00B94C94" w:rsidRDefault="00B94C94" w:rsidP="007F4A09">
            <w:pPr>
              <w:pStyle w:val="NoSpacing"/>
              <w:rPr>
                <w:sz w:val="20"/>
              </w:rPr>
            </w:pPr>
            <w:r>
              <w:rPr>
                <w:sz w:val="20"/>
              </w:rPr>
              <w:t>New corridors with new lines. The new lines would reduce also the railway distances. It is expected that the new lines attract 1.11 million additional passengers.</w:t>
            </w:r>
          </w:p>
        </w:tc>
      </w:tr>
      <w:tr w:rsidR="00B94C94" w:rsidRPr="00B94C94" w:rsidTr="004867E0">
        <w:tc>
          <w:tcPr>
            <w:tcW w:w="4101" w:type="dxa"/>
          </w:tcPr>
          <w:p w:rsidR="00B94C94" w:rsidRPr="00B94C94" w:rsidRDefault="00B94C94" w:rsidP="007723BA">
            <w:pPr>
              <w:pStyle w:val="NoSpacing"/>
              <w:rPr>
                <w:sz w:val="20"/>
              </w:rPr>
            </w:pPr>
            <w:r>
              <w:rPr>
                <w:sz w:val="20"/>
              </w:rPr>
              <w:t xml:space="preserve">Corridor 8: Dhaka-Mymensingh-Jamalpur-Tarakandi-Bangabandhu Bridge / Dhaka-Bhairab Bazar-Mymensingh </w:t>
            </w:r>
          </w:p>
        </w:tc>
        <w:tc>
          <w:tcPr>
            <w:tcW w:w="4966" w:type="dxa"/>
          </w:tcPr>
          <w:p w:rsidR="00B94C94" w:rsidRDefault="00883B9F" w:rsidP="007F4A09">
            <w:pPr>
              <w:pStyle w:val="NoSpacing"/>
              <w:rPr>
                <w:sz w:val="20"/>
              </w:rPr>
            </w:pPr>
            <w:r>
              <w:rPr>
                <w:sz w:val="20"/>
              </w:rPr>
              <w:t>Rehabilitation o</w:t>
            </w:r>
            <w:r w:rsidR="00B94C94">
              <w:rPr>
                <w:sz w:val="20"/>
              </w:rPr>
              <w:t>f tracks and double line.</w:t>
            </w:r>
          </w:p>
        </w:tc>
      </w:tr>
      <w:tr w:rsidR="00B94C94" w:rsidRPr="00B94C94" w:rsidTr="004867E0">
        <w:tc>
          <w:tcPr>
            <w:tcW w:w="4101" w:type="dxa"/>
          </w:tcPr>
          <w:p w:rsidR="00B94C94" w:rsidRPr="00B94C94" w:rsidRDefault="00B94C94" w:rsidP="00B94C94">
            <w:pPr>
              <w:pStyle w:val="NoSpacing"/>
              <w:rPr>
                <w:sz w:val="20"/>
                <w:lang w:val="es-ES"/>
              </w:rPr>
            </w:pPr>
            <w:r w:rsidRPr="00B94C94">
              <w:rPr>
                <w:sz w:val="20"/>
                <w:lang w:val="es-ES"/>
              </w:rPr>
              <w:t>Corridor 9: Dhaka-Paturia-Douladia-Moukuri-Bara Durgapur- Pabna-Ishurdi</w:t>
            </w:r>
          </w:p>
        </w:tc>
        <w:tc>
          <w:tcPr>
            <w:tcW w:w="4966" w:type="dxa"/>
          </w:tcPr>
          <w:p w:rsidR="00B94C94" w:rsidRDefault="00B94C94" w:rsidP="007F4A09">
            <w:pPr>
              <w:pStyle w:val="NoSpacing"/>
              <w:rPr>
                <w:sz w:val="20"/>
              </w:rPr>
            </w:pPr>
            <w:r>
              <w:rPr>
                <w:sz w:val="20"/>
              </w:rPr>
              <w:t xml:space="preserve">New construction </w:t>
            </w:r>
          </w:p>
        </w:tc>
      </w:tr>
    </w:tbl>
    <w:p w:rsidR="007F4A09" w:rsidRPr="00883B9F" w:rsidRDefault="004867E0" w:rsidP="007F4A09">
      <w:pPr>
        <w:rPr>
          <w:sz w:val="20"/>
        </w:rPr>
      </w:pPr>
      <w:r w:rsidRPr="00883B9F">
        <w:rPr>
          <w:sz w:val="20"/>
        </w:rPr>
        <w:t>Source: BR Master Plan, chapter 8</w:t>
      </w:r>
    </w:p>
    <w:p w:rsidR="004867E0" w:rsidRDefault="004867E0" w:rsidP="007F4A09">
      <w:r>
        <w:t>The following figure shows the planned network.</w:t>
      </w:r>
    </w:p>
    <w:p w:rsidR="004867E0" w:rsidRPr="004867E0" w:rsidRDefault="00B54DE4" w:rsidP="004867E0">
      <w:pPr>
        <w:pStyle w:val="NoSpacing"/>
        <w:rPr>
          <w:b/>
          <w:sz w:val="20"/>
        </w:rPr>
      </w:pPr>
      <w:r>
        <w:rPr>
          <w:b/>
          <w:sz w:val="20"/>
        </w:rPr>
        <w:br w:type="column"/>
      </w:r>
      <w:r w:rsidR="004867E0" w:rsidRPr="004867E0">
        <w:rPr>
          <w:b/>
          <w:sz w:val="20"/>
        </w:rPr>
        <w:lastRenderedPageBreak/>
        <w:t xml:space="preserve">Figure </w:t>
      </w:r>
      <w:r w:rsidR="004867E0" w:rsidRPr="004867E0">
        <w:rPr>
          <w:b/>
          <w:sz w:val="20"/>
        </w:rPr>
        <w:fldChar w:fldCharType="begin"/>
      </w:r>
      <w:r w:rsidR="004867E0" w:rsidRPr="004867E0">
        <w:rPr>
          <w:b/>
          <w:sz w:val="20"/>
        </w:rPr>
        <w:instrText xml:space="preserve"> SEQ Figure \* ARABIC </w:instrText>
      </w:r>
      <w:r w:rsidR="004867E0" w:rsidRPr="004867E0">
        <w:rPr>
          <w:b/>
          <w:sz w:val="20"/>
        </w:rPr>
        <w:fldChar w:fldCharType="separate"/>
      </w:r>
      <w:r w:rsidR="00AC6EDE">
        <w:rPr>
          <w:b/>
          <w:noProof/>
          <w:sz w:val="20"/>
        </w:rPr>
        <w:t>6</w:t>
      </w:r>
      <w:r w:rsidR="004867E0" w:rsidRPr="004867E0">
        <w:rPr>
          <w:b/>
          <w:sz w:val="20"/>
        </w:rPr>
        <w:fldChar w:fldCharType="end"/>
      </w:r>
      <w:r w:rsidR="004867E0" w:rsidRPr="004867E0">
        <w:rPr>
          <w:b/>
          <w:sz w:val="20"/>
        </w:rPr>
        <w:t>: BR Projected Network by 2030</w:t>
      </w:r>
    </w:p>
    <w:p w:rsidR="004867E0" w:rsidRPr="004867E0" w:rsidRDefault="004867E0" w:rsidP="004867E0">
      <w:pPr>
        <w:pStyle w:val="NoSpacing"/>
        <w:rPr>
          <w:sz w:val="20"/>
        </w:rPr>
      </w:pPr>
      <w:r w:rsidRPr="004867E0">
        <w:rPr>
          <w:noProof/>
          <w:sz w:val="20"/>
          <w:lang w:eastAsia="en-GB"/>
        </w:rPr>
        <w:drawing>
          <wp:inline distT="0" distB="0" distL="0" distR="0" wp14:anchorId="2DD0412F" wp14:editId="2961631F">
            <wp:extent cx="5692140" cy="8138436"/>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08572" cy="8161930"/>
                    </a:xfrm>
                    <a:prstGeom prst="rect">
                      <a:avLst/>
                    </a:prstGeom>
                    <a:noFill/>
                    <a:ln>
                      <a:noFill/>
                    </a:ln>
                  </pic:spPr>
                </pic:pic>
              </a:graphicData>
            </a:graphic>
          </wp:inline>
        </w:drawing>
      </w:r>
    </w:p>
    <w:p w:rsidR="004867E0" w:rsidRPr="004867E0" w:rsidRDefault="004867E0" w:rsidP="004867E0">
      <w:pPr>
        <w:pStyle w:val="NoSpacing"/>
        <w:rPr>
          <w:sz w:val="20"/>
        </w:rPr>
      </w:pPr>
      <w:r w:rsidRPr="004867E0">
        <w:rPr>
          <w:sz w:val="20"/>
        </w:rPr>
        <w:t>Source: BR Master Plan, Chapter 9</w:t>
      </w:r>
    </w:p>
    <w:p w:rsidR="004867E0" w:rsidRDefault="004867E0" w:rsidP="004867E0">
      <w:pPr>
        <w:pStyle w:val="NoSpacing"/>
      </w:pPr>
    </w:p>
    <w:p w:rsidR="009C1D87" w:rsidRDefault="009C1D87" w:rsidP="009C1D87">
      <w:pPr>
        <w:jc w:val="both"/>
      </w:pPr>
      <w:r>
        <w:lastRenderedPageBreak/>
        <w:t xml:space="preserve">The Rail Master Plan projects an elasticity of passenger growth relative to GDP growth of 1.09 until 2020 and 1.0 thereafter. For freight a differentiation of growth rates based on commodities is made with some increasing in importance and others declining. Considering the most important commodities an elasticity of freight growth relative to GDP growth of 1.3 until 2020 and of 1.0 after 2030 is assumed. The GDP </w:t>
      </w:r>
      <w:r w:rsidR="00B54DE4">
        <w:t xml:space="preserve">annual </w:t>
      </w:r>
      <w:r>
        <w:t>growth rate assumed for the period is 5.5%</w:t>
      </w:r>
      <w:r>
        <w:rPr>
          <w:rStyle w:val="FootnoteReference"/>
        </w:rPr>
        <w:footnoteReference w:id="24"/>
      </w:r>
      <w:r>
        <w:t xml:space="preserve">. </w:t>
      </w:r>
    </w:p>
    <w:p w:rsidR="009C1D87" w:rsidRDefault="00B94C94" w:rsidP="004867E0">
      <w:pPr>
        <w:jc w:val="both"/>
      </w:pPr>
      <w:r>
        <w:t>The rail expansion with additional lines, double tracking, rehabilitation and increased capacity utilization requires also significant investments in rolling stock as well as improved capacity utilization of existing rolling stock with improved maintenance.</w:t>
      </w:r>
      <w:r w:rsidR="004867E0">
        <w:t xml:space="preserve"> Cumulative until 2030 it is projected that around </w:t>
      </w:r>
      <w:r w:rsidR="009C1D87">
        <w:t>300 additional locomotives</w:t>
      </w:r>
      <w:r w:rsidR="004867E0">
        <w:t xml:space="preserve">, 2,000 additional passenger coaches and around 1,000 freight and flat wagons need to be procured. </w:t>
      </w:r>
    </w:p>
    <w:p w:rsidR="00100058" w:rsidRDefault="004867E0" w:rsidP="00D24E15">
      <w:pPr>
        <w:jc w:val="both"/>
      </w:pPr>
      <w:r>
        <w:t>The total investment required for the period 2010 to 2030 is around 30 billion USD</w:t>
      </w:r>
      <w:r w:rsidR="009C1D87">
        <w:t>.</w:t>
      </w:r>
    </w:p>
    <w:p w:rsidR="00100058" w:rsidRDefault="00100058" w:rsidP="00D24E15">
      <w:pPr>
        <w:jc w:val="both"/>
      </w:pPr>
      <w:r>
        <w:t>BR is also taking steps to reduce emission of the railway system itself including:</w:t>
      </w:r>
    </w:p>
    <w:p w:rsidR="00100058" w:rsidRDefault="00100058" w:rsidP="00100058">
      <w:pPr>
        <w:pStyle w:val="ListParagraph"/>
        <w:numPr>
          <w:ilvl w:val="0"/>
          <w:numId w:val="30"/>
        </w:numPr>
        <w:jc w:val="both"/>
        <w:rPr>
          <w:lang w:val="en-GB"/>
        </w:rPr>
      </w:pPr>
      <w:r w:rsidRPr="00100058">
        <w:rPr>
          <w:lang w:val="en-GB"/>
        </w:rPr>
        <w:t xml:space="preserve">Replacement of old locomotives with new units with lower </w:t>
      </w:r>
      <w:r>
        <w:rPr>
          <w:lang w:val="en-GB"/>
        </w:rPr>
        <w:t>fuel consumption and GHG emissions;</w:t>
      </w:r>
    </w:p>
    <w:p w:rsidR="00100058" w:rsidRDefault="00100058" w:rsidP="00100058">
      <w:pPr>
        <w:pStyle w:val="ListParagraph"/>
        <w:numPr>
          <w:ilvl w:val="0"/>
          <w:numId w:val="30"/>
        </w:numPr>
        <w:jc w:val="both"/>
        <w:rPr>
          <w:lang w:val="en-GB"/>
        </w:rPr>
      </w:pPr>
      <w:r>
        <w:rPr>
          <w:lang w:val="en-GB"/>
        </w:rPr>
        <w:t>Usage of low sulfur diesel fuel. Whilst low-sulfur diesel will not have a direct GHG impact it does have an indirect impact as it allows for the usage of more efficient engines and reduces maintenance requirements. High sulfur diesel result in high maintenance efforts and if latter are not realized the fuel consumption and GHG emissions tend to increase.</w:t>
      </w:r>
    </w:p>
    <w:p w:rsidR="00100058" w:rsidRPr="00100058" w:rsidRDefault="00100058" w:rsidP="00100058">
      <w:pPr>
        <w:pStyle w:val="ListParagraph"/>
        <w:numPr>
          <w:ilvl w:val="0"/>
          <w:numId w:val="30"/>
        </w:numPr>
        <w:jc w:val="both"/>
        <w:rPr>
          <w:lang w:val="en-GB"/>
        </w:rPr>
      </w:pPr>
      <w:r>
        <w:rPr>
          <w:lang w:val="en-GB"/>
        </w:rPr>
        <w:t>Improved locomotive maintenance facilities which again result in increased maintenance quality and thereby improved fuel efficiency of locos.</w:t>
      </w:r>
    </w:p>
    <w:p w:rsidR="00100058" w:rsidRDefault="00100058" w:rsidP="00D24E15">
      <w:pPr>
        <w:jc w:val="both"/>
      </w:pPr>
    </w:p>
    <w:p w:rsidR="0022668F" w:rsidRDefault="00F544A8" w:rsidP="0022668F">
      <w:pPr>
        <w:pStyle w:val="Heading1"/>
        <w:numPr>
          <w:ilvl w:val="0"/>
          <w:numId w:val="1"/>
        </w:numPr>
      </w:pPr>
      <w:r>
        <w:br w:type="column"/>
      </w:r>
      <w:bookmarkStart w:id="11" w:name="_Toc466207337"/>
      <w:r w:rsidR="0022668F">
        <w:lastRenderedPageBreak/>
        <w:t>Transformational Change</w:t>
      </w:r>
      <w:bookmarkEnd w:id="11"/>
    </w:p>
    <w:p w:rsidR="0022668F" w:rsidRDefault="0022668F" w:rsidP="0022668F"/>
    <w:p w:rsidR="00DD03BC" w:rsidRPr="00F51635" w:rsidRDefault="00F51635" w:rsidP="00F51635">
      <w:pPr>
        <w:jc w:val="both"/>
        <w:rPr>
          <w:b/>
        </w:rPr>
      </w:pPr>
      <w:r>
        <w:t xml:space="preserve">The NAMA </w:t>
      </w:r>
      <w:r w:rsidR="00DD03BC">
        <w:t>transformational change is towards reverting the trend for decreasing rail importance in long-haul passenger and freight transport in Bangladesh thereby fostering a low-carbon transport solution. The structural change can best be seen in the two graphs showing passenger and freight transport in the historic perspective and under BAU and with NAMA actions.</w:t>
      </w:r>
    </w:p>
    <w:p w:rsidR="00DD03BC" w:rsidRPr="004D3AFE" w:rsidRDefault="00DD03BC" w:rsidP="004D3AFE">
      <w:pPr>
        <w:pStyle w:val="NoSpacing"/>
        <w:rPr>
          <w:b/>
          <w:sz w:val="20"/>
        </w:rPr>
      </w:pPr>
      <w:r w:rsidRPr="004D3AFE">
        <w:rPr>
          <w:b/>
          <w:sz w:val="20"/>
        </w:rPr>
        <w:t xml:space="preserve">Figure </w:t>
      </w:r>
      <w:r w:rsidRPr="004D3AFE">
        <w:rPr>
          <w:b/>
          <w:sz w:val="20"/>
        </w:rPr>
        <w:fldChar w:fldCharType="begin"/>
      </w:r>
      <w:r w:rsidRPr="004D3AFE">
        <w:rPr>
          <w:b/>
          <w:sz w:val="20"/>
        </w:rPr>
        <w:instrText xml:space="preserve"> SEQ Figure \* ARABIC </w:instrText>
      </w:r>
      <w:r w:rsidRPr="004D3AFE">
        <w:rPr>
          <w:b/>
          <w:sz w:val="20"/>
        </w:rPr>
        <w:fldChar w:fldCharType="separate"/>
      </w:r>
      <w:r w:rsidR="00AC6EDE">
        <w:rPr>
          <w:b/>
          <w:noProof/>
          <w:sz w:val="20"/>
        </w:rPr>
        <w:t>7</w:t>
      </w:r>
      <w:r w:rsidRPr="004D3AFE">
        <w:rPr>
          <w:b/>
          <w:sz w:val="20"/>
        </w:rPr>
        <w:fldChar w:fldCharType="end"/>
      </w:r>
      <w:r w:rsidRPr="004D3AFE">
        <w:rPr>
          <w:b/>
          <w:sz w:val="20"/>
        </w:rPr>
        <w:t>: Passenger Transport Rail BAU and with NAMA Bangladesh (pkm)</w:t>
      </w:r>
    </w:p>
    <w:p w:rsidR="004D3AFE" w:rsidRPr="004D3AFE" w:rsidRDefault="004D3AFE" w:rsidP="004D3AFE">
      <w:pPr>
        <w:pStyle w:val="NoSpacing"/>
        <w:rPr>
          <w:sz w:val="20"/>
        </w:rPr>
      </w:pPr>
      <w:r w:rsidRPr="004D3AFE">
        <w:rPr>
          <w:noProof/>
          <w:sz w:val="20"/>
          <w:lang w:eastAsia="en-GB"/>
        </w:rPr>
        <w:drawing>
          <wp:inline distT="0" distB="0" distL="0" distR="0" wp14:anchorId="182454D6" wp14:editId="44D74E8A">
            <wp:extent cx="5627370" cy="2719705"/>
            <wp:effectExtent l="0" t="0" r="11430" b="444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DD03BC" w:rsidRPr="004D3AFE" w:rsidRDefault="00DD03BC" w:rsidP="004D3AFE">
      <w:pPr>
        <w:pStyle w:val="NoSpacing"/>
        <w:rPr>
          <w:sz w:val="20"/>
        </w:rPr>
      </w:pPr>
      <w:r w:rsidRPr="004D3AFE">
        <w:rPr>
          <w:sz w:val="20"/>
        </w:rPr>
        <w:t xml:space="preserve">Source: </w:t>
      </w:r>
      <w:r w:rsidR="00C14C7F">
        <w:rPr>
          <w:sz w:val="20"/>
        </w:rPr>
        <w:t>Grütter</w:t>
      </w:r>
      <w:r w:rsidRPr="004D3AFE">
        <w:rPr>
          <w:sz w:val="20"/>
        </w:rPr>
        <w:t xml:space="preserve"> Consulting</w:t>
      </w:r>
    </w:p>
    <w:p w:rsidR="00DD03BC" w:rsidRDefault="00DD03BC" w:rsidP="005B59CE">
      <w:pPr>
        <w:pStyle w:val="NoSpacing"/>
      </w:pPr>
    </w:p>
    <w:p w:rsidR="004D3AFE" w:rsidRDefault="004D3AFE" w:rsidP="005B59CE">
      <w:pPr>
        <w:jc w:val="both"/>
      </w:pPr>
      <w:r>
        <w:t>Compared to the baseline rail</w:t>
      </w:r>
      <w:r w:rsidR="005B59CE">
        <w:t xml:space="preserve"> could more than double its activity level and thereby stop the declining mode share trend.</w:t>
      </w:r>
    </w:p>
    <w:p w:rsidR="00DD03BC" w:rsidRPr="005B59CE" w:rsidRDefault="00B54DE4" w:rsidP="005B59CE">
      <w:pPr>
        <w:pStyle w:val="NoSpacing"/>
        <w:rPr>
          <w:b/>
          <w:sz w:val="20"/>
        </w:rPr>
      </w:pPr>
      <w:r>
        <w:rPr>
          <w:b/>
          <w:sz w:val="20"/>
        </w:rPr>
        <w:br w:type="column"/>
      </w:r>
      <w:r w:rsidR="00DD03BC" w:rsidRPr="005B59CE">
        <w:rPr>
          <w:b/>
          <w:sz w:val="20"/>
        </w:rPr>
        <w:lastRenderedPageBreak/>
        <w:t xml:space="preserve">Figure </w:t>
      </w:r>
      <w:r w:rsidR="00DD03BC" w:rsidRPr="005B59CE">
        <w:rPr>
          <w:b/>
          <w:sz w:val="20"/>
        </w:rPr>
        <w:fldChar w:fldCharType="begin"/>
      </w:r>
      <w:r w:rsidR="00DD03BC" w:rsidRPr="005B59CE">
        <w:rPr>
          <w:b/>
          <w:sz w:val="20"/>
        </w:rPr>
        <w:instrText xml:space="preserve"> SEQ Figure \* ARABIC </w:instrText>
      </w:r>
      <w:r w:rsidR="00DD03BC" w:rsidRPr="005B59CE">
        <w:rPr>
          <w:b/>
          <w:sz w:val="20"/>
        </w:rPr>
        <w:fldChar w:fldCharType="separate"/>
      </w:r>
      <w:r w:rsidR="00AC6EDE">
        <w:rPr>
          <w:b/>
          <w:noProof/>
          <w:sz w:val="20"/>
        </w:rPr>
        <w:t>8</w:t>
      </w:r>
      <w:r w:rsidR="00DD03BC" w:rsidRPr="005B59CE">
        <w:rPr>
          <w:b/>
          <w:sz w:val="20"/>
        </w:rPr>
        <w:fldChar w:fldCharType="end"/>
      </w:r>
      <w:r w:rsidR="00DD03BC" w:rsidRPr="005B59CE">
        <w:rPr>
          <w:b/>
          <w:sz w:val="20"/>
        </w:rPr>
        <w:t xml:space="preserve">: Freight Transport Rail BAU and with NAMA Bangladesh </w:t>
      </w:r>
      <w:r w:rsidR="005B59CE" w:rsidRPr="005B59CE">
        <w:rPr>
          <w:b/>
          <w:sz w:val="20"/>
        </w:rPr>
        <w:t>(</w:t>
      </w:r>
      <w:r w:rsidR="00DD03BC" w:rsidRPr="005B59CE">
        <w:rPr>
          <w:b/>
          <w:sz w:val="20"/>
        </w:rPr>
        <w:t>tkm)</w:t>
      </w:r>
    </w:p>
    <w:p w:rsidR="005B59CE" w:rsidRPr="005B59CE" w:rsidRDefault="005B59CE" w:rsidP="005B59CE">
      <w:pPr>
        <w:pStyle w:val="NoSpacing"/>
        <w:rPr>
          <w:sz w:val="20"/>
        </w:rPr>
      </w:pPr>
      <w:r>
        <w:rPr>
          <w:noProof/>
          <w:lang w:eastAsia="en-GB"/>
        </w:rPr>
        <w:drawing>
          <wp:inline distT="0" distB="0" distL="0" distR="0" wp14:anchorId="12ECD1D6" wp14:editId="223AC015">
            <wp:extent cx="5444490" cy="2743200"/>
            <wp:effectExtent l="0" t="0" r="3810"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DD03BC" w:rsidRPr="005B59CE" w:rsidRDefault="00DD03BC" w:rsidP="005B59CE">
      <w:pPr>
        <w:pStyle w:val="NoSpacing"/>
        <w:rPr>
          <w:sz w:val="20"/>
        </w:rPr>
      </w:pPr>
      <w:r w:rsidRPr="005B59CE">
        <w:rPr>
          <w:sz w:val="20"/>
        </w:rPr>
        <w:t xml:space="preserve">Source: </w:t>
      </w:r>
      <w:r w:rsidR="00C14C7F">
        <w:rPr>
          <w:sz w:val="20"/>
        </w:rPr>
        <w:t>Grütter</w:t>
      </w:r>
      <w:r w:rsidRPr="005B59CE">
        <w:rPr>
          <w:sz w:val="20"/>
        </w:rPr>
        <w:t xml:space="preserve"> Consulting</w:t>
      </w:r>
    </w:p>
    <w:p w:rsidR="00DD03BC" w:rsidRPr="00DD03BC" w:rsidRDefault="00DD03BC" w:rsidP="005B59CE">
      <w:pPr>
        <w:pStyle w:val="NoSpacing"/>
      </w:pPr>
    </w:p>
    <w:p w:rsidR="00F51635" w:rsidRDefault="005B59CE" w:rsidP="00AE23C4">
      <w:r>
        <w:t>Also in freight a fundamental shift can be observed. In the last 4 decades</w:t>
      </w:r>
      <w:r w:rsidR="00704742">
        <w:t>,</w:t>
      </w:r>
      <w:r>
        <w:t xml:space="preserve"> freight rail transport has been constant or declining resulting in a massive decrease of mode share. With the NAMA the rail sector shall grow significantly thus reverting the historic trend of decreasing mode share in freight transport.</w:t>
      </w:r>
      <w:r w:rsidR="00F51635">
        <w:t xml:space="preserve"> The intervention has therefore a large scaling-up potential.</w:t>
      </w:r>
    </w:p>
    <w:p w:rsidR="00AE23C4" w:rsidRDefault="00F544A8" w:rsidP="00AE23C4">
      <w:pPr>
        <w:pStyle w:val="Heading1"/>
        <w:numPr>
          <w:ilvl w:val="0"/>
          <w:numId w:val="1"/>
        </w:numPr>
      </w:pPr>
      <w:r>
        <w:br w:type="column"/>
      </w:r>
      <w:bookmarkStart w:id="12" w:name="_Toc466207338"/>
      <w:r w:rsidR="00AE23C4">
        <w:lastRenderedPageBreak/>
        <w:t>GHG Mitigation Impact</w:t>
      </w:r>
      <w:bookmarkEnd w:id="12"/>
    </w:p>
    <w:p w:rsidR="0069542F" w:rsidRDefault="0069542F" w:rsidP="0069542F">
      <w:pPr>
        <w:pStyle w:val="Heading2"/>
        <w:numPr>
          <w:ilvl w:val="1"/>
          <w:numId w:val="1"/>
        </w:numPr>
      </w:pPr>
      <w:bookmarkStart w:id="13" w:name="_Toc466207339"/>
      <w:r>
        <w:t>Scope</w:t>
      </w:r>
      <w:bookmarkEnd w:id="13"/>
    </w:p>
    <w:p w:rsidR="00867C37" w:rsidRDefault="00867C37" w:rsidP="00867C37"/>
    <w:p w:rsidR="00E9371B" w:rsidRDefault="00E9371B" w:rsidP="00E9371B">
      <w:pPr>
        <w:jc w:val="both"/>
      </w:pPr>
      <w:r>
        <w:t>The scope for this NAMA is interurban passenger and freight transport within Bangladesh (see following figure).</w:t>
      </w:r>
    </w:p>
    <w:p w:rsidR="00E9371B" w:rsidRPr="002E0E1B" w:rsidRDefault="00E9371B" w:rsidP="002E0E1B">
      <w:pPr>
        <w:pStyle w:val="NoSpacing"/>
        <w:rPr>
          <w:b/>
          <w:sz w:val="20"/>
          <w:lang w:val="de-DE"/>
        </w:rPr>
      </w:pPr>
      <w:r w:rsidRPr="002E0E1B">
        <w:rPr>
          <w:b/>
          <w:sz w:val="20"/>
        </w:rPr>
        <w:t xml:space="preserve">Figure </w:t>
      </w:r>
      <w:r w:rsidRPr="002E0E1B">
        <w:rPr>
          <w:b/>
          <w:sz w:val="20"/>
        </w:rPr>
        <w:fldChar w:fldCharType="begin"/>
      </w:r>
      <w:r w:rsidRPr="002E0E1B">
        <w:rPr>
          <w:b/>
          <w:sz w:val="20"/>
        </w:rPr>
        <w:instrText xml:space="preserve"> SEQ Figure \* ARABIC </w:instrText>
      </w:r>
      <w:r w:rsidRPr="002E0E1B">
        <w:rPr>
          <w:b/>
          <w:sz w:val="20"/>
        </w:rPr>
        <w:fldChar w:fldCharType="separate"/>
      </w:r>
      <w:r w:rsidR="00AC6EDE">
        <w:rPr>
          <w:b/>
          <w:noProof/>
          <w:sz w:val="20"/>
        </w:rPr>
        <w:t>9</w:t>
      </w:r>
      <w:r w:rsidRPr="002E0E1B">
        <w:rPr>
          <w:b/>
          <w:sz w:val="20"/>
        </w:rPr>
        <w:fldChar w:fldCharType="end"/>
      </w:r>
      <w:r w:rsidRPr="002E0E1B">
        <w:rPr>
          <w:b/>
          <w:sz w:val="20"/>
          <w:lang w:val="de-DE"/>
        </w:rPr>
        <w:t>: NAMA Scope</w:t>
      </w:r>
    </w:p>
    <w:p w:rsidR="00E9371B" w:rsidRPr="00603403" w:rsidRDefault="002E0E1B" w:rsidP="00603403">
      <w:pPr>
        <w:pStyle w:val="NoSpacing"/>
        <w:rPr>
          <w:sz w:val="20"/>
          <w:lang w:val="de-DE"/>
        </w:rPr>
      </w:pPr>
      <w:r w:rsidRPr="00603403">
        <w:rPr>
          <w:noProof/>
          <w:sz w:val="20"/>
          <w:lang w:eastAsia="en-GB"/>
        </w:rPr>
        <w:drawing>
          <wp:inline distT="0" distB="0" distL="0" distR="0" wp14:anchorId="42E7A817" wp14:editId="4C28589D">
            <wp:extent cx="5730296" cy="2529840"/>
            <wp:effectExtent l="19050" t="19050" r="22860" b="2286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44164" cy="2535963"/>
                    </a:xfrm>
                    <a:prstGeom prst="rect">
                      <a:avLst/>
                    </a:prstGeom>
                    <a:noFill/>
                    <a:ln w="9525">
                      <a:solidFill>
                        <a:schemeClr val="tx1"/>
                      </a:solidFill>
                    </a:ln>
                  </pic:spPr>
                </pic:pic>
              </a:graphicData>
            </a:graphic>
          </wp:inline>
        </w:drawing>
      </w:r>
    </w:p>
    <w:p w:rsidR="00603403" w:rsidRPr="00D0623E" w:rsidRDefault="00E62DDE" w:rsidP="00603403">
      <w:pPr>
        <w:pStyle w:val="NoSpacing"/>
        <w:rPr>
          <w:sz w:val="20"/>
        </w:rPr>
      </w:pPr>
      <w:r>
        <w:rPr>
          <w:sz w:val="20"/>
        </w:rPr>
        <w:t>Source: Grü</w:t>
      </w:r>
      <w:r w:rsidR="00603403" w:rsidRPr="00D0623E">
        <w:rPr>
          <w:sz w:val="20"/>
        </w:rPr>
        <w:t>tter Consulting</w:t>
      </w:r>
    </w:p>
    <w:p w:rsidR="00603403" w:rsidRPr="00603403" w:rsidRDefault="00603403" w:rsidP="00603403">
      <w:pPr>
        <w:pStyle w:val="NoSpacing"/>
        <w:rPr>
          <w:sz w:val="20"/>
        </w:rPr>
      </w:pPr>
    </w:p>
    <w:p w:rsidR="002E0E1B" w:rsidRPr="00603403" w:rsidRDefault="00603403" w:rsidP="00603403">
      <w:pPr>
        <w:jc w:val="both"/>
        <w:rPr>
          <w:sz w:val="20"/>
        </w:rPr>
      </w:pPr>
      <w:r>
        <w:t xml:space="preserve">The time period calculated is until 2030 with expected impacts starting 2017 i.e. the baseline and the mitigation scenario is realized for the period 2017 </w:t>
      </w:r>
      <w:r w:rsidR="00E62DDE">
        <w:t>t</w:t>
      </w:r>
      <w:r>
        <w:t>o 2030.</w:t>
      </w:r>
    </w:p>
    <w:p w:rsidR="00867C37" w:rsidRDefault="00867C37" w:rsidP="00867C37">
      <w:pPr>
        <w:pStyle w:val="Heading2"/>
        <w:numPr>
          <w:ilvl w:val="1"/>
          <w:numId w:val="1"/>
        </w:numPr>
      </w:pPr>
      <w:bookmarkStart w:id="14" w:name="_Toc466207340"/>
      <w:r>
        <w:t>Boundaries and Gases Included</w:t>
      </w:r>
      <w:bookmarkEnd w:id="14"/>
    </w:p>
    <w:p w:rsidR="00163C4B" w:rsidRDefault="00163C4B" w:rsidP="00163C4B">
      <w:pPr>
        <w:jc w:val="both"/>
      </w:pPr>
    </w:p>
    <w:p w:rsidR="00163C4B" w:rsidRDefault="00163C4B" w:rsidP="00163C4B">
      <w:pPr>
        <w:jc w:val="both"/>
      </w:pPr>
      <w:r w:rsidRPr="00163C4B">
        <w:t>The NAMA and GHG boundary is Bangladesh. The activities are all over the country and therefore transport trips are all over Bangladesh.</w:t>
      </w:r>
    </w:p>
    <w:p w:rsidR="00163C4B" w:rsidRDefault="00163C4B" w:rsidP="00163C4B">
      <w:pPr>
        <w:jc w:val="both"/>
      </w:pPr>
      <w:r w:rsidRPr="00DA76B5">
        <w:rPr>
          <w:b/>
        </w:rPr>
        <w:t>GHG gases</w:t>
      </w:r>
      <w:r>
        <w:t xml:space="preserve"> included are:</w:t>
      </w:r>
    </w:p>
    <w:p w:rsidR="00163C4B" w:rsidRPr="00256D11" w:rsidRDefault="00163C4B" w:rsidP="00163C4B">
      <w:pPr>
        <w:pStyle w:val="ListParagraph"/>
        <w:numPr>
          <w:ilvl w:val="0"/>
          <w:numId w:val="20"/>
        </w:numPr>
        <w:tabs>
          <w:tab w:val="left" w:pos="709"/>
        </w:tabs>
        <w:spacing w:after="0" w:line="240" w:lineRule="auto"/>
        <w:jc w:val="both"/>
        <w:rPr>
          <w:lang w:val="en-GB"/>
        </w:rPr>
      </w:pPr>
      <w:r w:rsidRPr="00163C4B">
        <w:rPr>
          <w:lang w:val="en-GB"/>
        </w:rPr>
        <w:t xml:space="preserve">Emission sources included </w:t>
      </w:r>
      <w:r>
        <w:rPr>
          <w:lang w:val="en-GB"/>
        </w:rPr>
        <w:t>are</w:t>
      </w:r>
      <w:r w:rsidRPr="00163C4B">
        <w:rPr>
          <w:lang w:val="en-GB"/>
        </w:rPr>
        <w:t xml:space="preserve"> CO</w:t>
      </w:r>
      <w:r w:rsidRPr="00163C4B">
        <w:rPr>
          <w:vertAlign w:val="subscript"/>
          <w:lang w:val="en-GB"/>
        </w:rPr>
        <w:t>2</w:t>
      </w:r>
      <w:r w:rsidRPr="00163C4B">
        <w:rPr>
          <w:lang w:val="en-GB"/>
        </w:rPr>
        <w:t>. For inter-urban transport gaseous fuels are in general not used. Therefore, CH</w:t>
      </w:r>
      <w:r w:rsidRPr="00163C4B">
        <w:rPr>
          <w:vertAlign w:val="subscript"/>
          <w:lang w:val="en-GB"/>
        </w:rPr>
        <w:t>4</w:t>
      </w:r>
      <w:r w:rsidRPr="00163C4B">
        <w:rPr>
          <w:lang w:val="en-GB"/>
        </w:rPr>
        <w:t xml:space="preserve"> and N</w:t>
      </w:r>
      <w:r w:rsidRPr="00163C4B">
        <w:rPr>
          <w:vertAlign w:val="subscript"/>
          <w:lang w:val="en-GB"/>
        </w:rPr>
        <w:t>2</w:t>
      </w:r>
      <w:r w:rsidRPr="00163C4B">
        <w:rPr>
          <w:lang w:val="en-GB"/>
        </w:rPr>
        <w:t>O emissions are not accounted for as these represent in liquid fuels a marginal fraction. This approach is commensurate with registered CDM transport methodologies e.g. ACM0016.</w:t>
      </w:r>
    </w:p>
    <w:p w:rsidR="00163C4B" w:rsidRDefault="00163C4B" w:rsidP="000554BB">
      <w:pPr>
        <w:pStyle w:val="ListParagraph"/>
        <w:numPr>
          <w:ilvl w:val="0"/>
          <w:numId w:val="20"/>
        </w:numPr>
        <w:tabs>
          <w:tab w:val="left" w:pos="709"/>
        </w:tabs>
        <w:spacing w:after="0" w:line="240" w:lineRule="auto"/>
        <w:jc w:val="both"/>
        <w:rPr>
          <w:lang w:val="en-GB"/>
        </w:rPr>
      </w:pPr>
      <w:r w:rsidRPr="00256D11">
        <w:rPr>
          <w:lang w:val="en-GB"/>
        </w:rPr>
        <w:t>Black carbon (BC) and its impact on global warming based on a GWP100.</w:t>
      </w:r>
      <w:r>
        <w:rPr>
          <w:lang w:val="en-GB"/>
        </w:rPr>
        <w:t xml:space="preserve"> </w:t>
      </w:r>
      <w:r w:rsidRPr="00163C4B">
        <w:rPr>
          <w:lang w:val="en-GB"/>
        </w:rPr>
        <w:t>A scientific assessment of BC emissions and impacts found that BC is second to CO</w:t>
      </w:r>
      <w:r w:rsidRPr="00163C4B">
        <w:rPr>
          <w:vertAlign w:val="subscript"/>
          <w:lang w:val="en-GB"/>
        </w:rPr>
        <w:t>2</w:t>
      </w:r>
      <w:r w:rsidRPr="00163C4B">
        <w:rPr>
          <w:lang w:val="en-GB"/>
        </w:rPr>
        <w:t xml:space="preserve"> in terms of its climate forcing. BC is on average 2,700 times more effective on a mass-equivalent basis than CO</w:t>
      </w:r>
      <w:r w:rsidRPr="00163C4B">
        <w:rPr>
          <w:vertAlign w:val="subscript"/>
          <w:lang w:val="en-GB"/>
        </w:rPr>
        <w:t>2</w:t>
      </w:r>
      <w:r w:rsidRPr="00163C4B">
        <w:rPr>
          <w:lang w:val="en-GB"/>
        </w:rPr>
        <w:t xml:space="preserve"> in causing climate impacts within 20 years, and 900 times more effective within 100 years. It increases global and regional temperatures when emitted into the atmosphere, where individual particles directly absorb energy from the sun and radiate it back as heat. BC also reduces the strong cooling effect of large, highly reflective surfaces such as glaciers and Arctic ice</w:t>
      </w:r>
      <w:r>
        <w:rPr>
          <w:rStyle w:val="FootnoteReference"/>
        </w:rPr>
        <w:footnoteReference w:id="25"/>
      </w:r>
      <w:r w:rsidRPr="00163C4B">
        <w:rPr>
          <w:lang w:val="en-GB"/>
        </w:rPr>
        <w:t>. BC is part of the particle matter (PM</w:t>
      </w:r>
      <w:r w:rsidR="00E62DDE">
        <w:rPr>
          <w:lang w:val="en-GB"/>
        </w:rPr>
        <w:t>2.5</w:t>
      </w:r>
      <w:r w:rsidRPr="00163C4B">
        <w:rPr>
          <w:lang w:val="en-GB"/>
        </w:rPr>
        <w:t xml:space="preserve">) emissions originating from diesel engines. </w:t>
      </w:r>
    </w:p>
    <w:p w:rsidR="000554BB" w:rsidRPr="000554BB" w:rsidRDefault="000554BB" w:rsidP="000554BB">
      <w:pPr>
        <w:pStyle w:val="ListParagraph"/>
        <w:tabs>
          <w:tab w:val="left" w:pos="709"/>
        </w:tabs>
        <w:spacing w:after="0" w:line="240" w:lineRule="auto"/>
        <w:jc w:val="both"/>
        <w:rPr>
          <w:lang w:val="en-GB"/>
        </w:rPr>
      </w:pPr>
    </w:p>
    <w:p w:rsidR="00163C4B" w:rsidRDefault="00163C4B" w:rsidP="00163C4B">
      <w:pPr>
        <w:jc w:val="both"/>
      </w:pPr>
      <w:r w:rsidRPr="00DA76B5">
        <w:rPr>
          <w:b/>
        </w:rPr>
        <w:t>Emission sources</w:t>
      </w:r>
      <w:r>
        <w:t xml:space="preserve"> included are differentiated based on (see also for an initial discussion chapter 6.3.):</w:t>
      </w:r>
    </w:p>
    <w:p w:rsidR="00163C4B" w:rsidRPr="00256D11" w:rsidRDefault="00163C4B" w:rsidP="00163C4B">
      <w:pPr>
        <w:pStyle w:val="ListParagraph"/>
        <w:numPr>
          <w:ilvl w:val="0"/>
          <w:numId w:val="19"/>
        </w:numPr>
        <w:tabs>
          <w:tab w:val="left" w:pos="709"/>
        </w:tabs>
        <w:spacing w:after="0" w:line="240" w:lineRule="auto"/>
        <w:ind w:left="709"/>
        <w:jc w:val="both"/>
        <w:rPr>
          <w:lang w:val="en-GB"/>
        </w:rPr>
      </w:pPr>
      <w:r w:rsidRPr="00256D11">
        <w:rPr>
          <w:b/>
          <w:lang w:val="en-GB"/>
        </w:rPr>
        <w:lastRenderedPageBreak/>
        <w:t>Direct Emissions</w:t>
      </w:r>
      <w:r w:rsidRPr="00256D11">
        <w:rPr>
          <w:lang w:val="en-GB"/>
        </w:rPr>
        <w:t xml:space="preserve"> resulting from the combustion of fossil fuels (TTW</w:t>
      </w:r>
      <w:r>
        <w:rPr>
          <w:lang w:val="en-GB"/>
        </w:rPr>
        <w:t xml:space="preserve"> i.e. Tank-to-Wheel</w:t>
      </w:r>
      <w:r w:rsidRPr="00256D11">
        <w:rPr>
          <w:lang w:val="en-GB"/>
        </w:rPr>
        <w:t>)</w:t>
      </w:r>
      <w:r>
        <w:rPr>
          <w:lang w:val="en-GB"/>
        </w:rPr>
        <w:t>.</w:t>
      </w:r>
    </w:p>
    <w:p w:rsidR="00867C37" w:rsidRDefault="00163C4B" w:rsidP="0069542F">
      <w:pPr>
        <w:pStyle w:val="ListParagraph"/>
        <w:numPr>
          <w:ilvl w:val="0"/>
          <w:numId w:val="19"/>
        </w:numPr>
        <w:tabs>
          <w:tab w:val="left" w:pos="709"/>
        </w:tabs>
        <w:spacing w:after="0" w:line="240" w:lineRule="auto"/>
        <w:ind w:left="709"/>
        <w:jc w:val="both"/>
        <w:rPr>
          <w:lang w:val="en-GB"/>
        </w:rPr>
      </w:pPr>
      <w:r w:rsidRPr="00256D11">
        <w:rPr>
          <w:b/>
          <w:lang w:val="en-GB"/>
        </w:rPr>
        <w:t xml:space="preserve">Indirect Emissions </w:t>
      </w:r>
      <w:r w:rsidRPr="00256D11">
        <w:rPr>
          <w:lang w:val="en-GB"/>
        </w:rPr>
        <w:t>include upstream emissions for fossil fuel extraction, refinery and transport i.e. a well-to-wheel (WTW) approach</w:t>
      </w:r>
      <w:r w:rsidRPr="00256D11">
        <w:rPr>
          <w:b/>
          <w:lang w:val="en-GB"/>
        </w:rPr>
        <w:t>.</w:t>
      </w:r>
      <w:r w:rsidRPr="00256D11">
        <w:rPr>
          <w:lang w:val="en-GB"/>
        </w:rPr>
        <w:t xml:space="preserve"> WTT upstream emissions of liquid fuels are a significant part of emissions. </w:t>
      </w:r>
      <w:r>
        <w:rPr>
          <w:lang w:val="en-GB"/>
        </w:rPr>
        <w:t>Other indirect emission sources for construction of rail tracks / roads, production of rail carriages / vehicles and congestion changes on roads are discussed under chapter 6.7. However, their magnitude is not considered relevant and therefore their impact is not included in the further calculations. BR only uses fossil fuels and no electricity for traction. In the case of future usage of electricity for traction the electricity based upstream emissions for production and transmission of electricity would be included as indirect emission source based on the actual operating</w:t>
      </w:r>
      <w:r w:rsidR="00E62DDE">
        <w:rPr>
          <w:lang w:val="en-GB"/>
        </w:rPr>
        <w:t xml:space="preserve"> emissions of the grid and the countries </w:t>
      </w:r>
      <w:r>
        <w:rPr>
          <w:lang w:val="en-GB"/>
        </w:rPr>
        <w:t>transmission and distribution losses.</w:t>
      </w:r>
    </w:p>
    <w:p w:rsidR="000554BB" w:rsidRPr="000554BB" w:rsidRDefault="000554BB" w:rsidP="000554BB">
      <w:pPr>
        <w:pStyle w:val="ListParagraph"/>
        <w:tabs>
          <w:tab w:val="left" w:pos="709"/>
        </w:tabs>
        <w:spacing w:after="0" w:line="240" w:lineRule="auto"/>
        <w:ind w:left="709"/>
        <w:jc w:val="both"/>
        <w:rPr>
          <w:lang w:val="en-GB"/>
        </w:rPr>
      </w:pPr>
    </w:p>
    <w:p w:rsidR="00867C37" w:rsidRDefault="00867C37" w:rsidP="00867C37">
      <w:pPr>
        <w:pStyle w:val="Heading2"/>
        <w:numPr>
          <w:ilvl w:val="1"/>
          <w:numId w:val="1"/>
        </w:numPr>
      </w:pPr>
      <w:bookmarkStart w:id="15" w:name="_Toc466207341"/>
      <w:r>
        <w:t>Cause-Impact Relationship</w:t>
      </w:r>
      <w:bookmarkEnd w:id="15"/>
    </w:p>
    <w:p w:rsidR="00867C37" w:rsidRDefault="00867C37" w:rsidP="00867C37"/>
    <w:p w:rsidR="00802A00" w:rsidRDefault="00802A00" w:rsidP="00802A00">
      <w:pPr>
        <w:jc w:val="both"/>
      </w:pPr>
      <w:r>
        <w:t>In terms of GHG mitigation the major impact of the rail investment programme is towards mode-shift from high emitting transport means towards low emitting transport means. Whilst new and more efficient locomotives might also reduce GHG emissions this is not taken into account as at the same time other measures such as increased comfort through AC carriages, increased speed and reduced passenger occupation rates to improve transport convenience might result in higher emissions per pkm and per tkm.</w:t>
      </w:r>
    </w:p>
    <w:p w:rsidR="00802A00" w:rsidRDefault="00802A00" w:rsidP="00802A00">
      <w:pPr>
        <w:jc w:val="both"/>
      </w:pPr>
      <w:r>
        <w:t xml:space="preserve">The causality chain shows the direct and indirect impacts expected to be caused by the actions of the NAMA. Based on the likelihood and expected magnitude of the impact the necessity of monitoring and further exploring impacts is determined. </w:t>
      </w:r>
    </w:p>
    <w:p w:rsidR="00802A00" w:rsidRPr="00187E68" w:rsidRDefault="00187E68" w:rsidP="00187E68">
      <w:pPr>
        <w:pStyle w:val="NoSpacing"/>
        <w:rPr>
          <w:b/>
          <w:sz w:val="20"/>
        </w:rPr>
      </w:pPr>
      <w:r w:rsidRPr="00187E68">
        <w:rPr>
          <w:b/>
          <w:sz w:val="20"/>
        </w:rPr>
        <w:t xml:space="preserve">Table </w:t>
      </w:r>
      <w:r w:rsidRPr="00187E68">
        <w:rPr>
          <w:b/>
          <w:sz w:val="20"/>
        </w:rPr>
        <w:fldChar w:fldCharType="begin"/>
      </w:r>
      <w:r w:rsidRPr="00187E68">
        <w:rPr>
          <w:b/>
          <w:sz w:val="20"/>
        </w:rPr>
        <w:instrText xml:space="preserve"> SEQ Table \* ARABIC </w:instrText>
      </w:r>
      <w:r w:rsidRPr="00187E68">
        <w:rPr>
          <w:b/>
          <w:sz w:val="20"/>
        </w:rPr>
        <w:fldChar w:fldCharType="separate"/>
      </w:r>
      <w:r w:rsidR="00AC6EDE">
        <w:rPr>
          <w:b/>
          <w:noProof/>
          <w:sz w:val="20"/>
        </w:rPr>
        <w:t>3</w:t>
      </w:r>
      <w:r w:rsidRPr="00187E68">
        <w:rPr>
          <w:b/>
          <w:sz w:val="20"/>
        </w:rPr>
        <w:fldChar w:fldCharType="end"/>
      </w:r>
      <w:r w:rsidR="00802A00" w:rsidRPr="00187E68">
        <w:rPr>
          <w:b/>
          <w:sz w:val="20"/>
        </w:rPr>
        <w:t>: Causality Chain of Increased Rail Transport</w:t>
      </w:r>
    </w:p>
    <w:tbl>
      <w:tblPr>
        <w:tblStyle w:val="TableGrid"/>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94"/>
        <w:gridCol w:w="4961"/>
        <w:gridCol w:w="1701"/>
        <w:gridCol w:w="1640"/>
      </w:tblGrid>
      <w:tr w:rsidR="003B301C" w:rsidRPr="004608AA" w:rsidTr="003B301C">
        <w:tc>
          <w:tcPr>
            <w:tcW w:w="5655" w:type="dxa"/>
            <w:gridSpan w:val="2"/>
            <w:shd w:val="clear" w:color="auto" w:fill="DEEAF6" w:themeFill="accent1" w:themeFillTint="33"/>
          </w:tcPr>
          <w:p w:rsidR="00802A00" w:rsidRPr="00220F8E" w:rsidRDefault="00802A00" w:rsidP="00D0623E">
            <w:pPr>
              <w:pStyle w:val="NoSpacing"/>
              <w:rPr>
                <w:b/>
                <w:sz w:val="20"/>
              </w:rPr>
            </w:pPr>
            <w:r w:rsidRPr="00220F8E">
              <w:rPr>
                <w:b/>
                <w:sz w:val="20"/>
              </w:rPr>
              <w:t>Effects</w:t>
            </w:r>
          </w:p>
        </w:tc>
        <w:tc>
          <w:tcPr>
            <w:tcW w:w="1701" w:type="dxa"/>
            <w:shd w:val="clear" w:color="auto" w:fill="DEEAF6" w:themeFill="accent1" w:themeFillTint="33"/>
          </w:tcPr>
          <w:p w:rsidR="00802A00" w:rsidRPr="00220F8E" w:rsidRDefault="00802A00" w:rsidP="00D0623E">
            <w:pPr>
              <w:pStyle w:val="NoSpacing"/>
              <w:jc w:val="center"/>
              <w:rPr>
                <w:b/>
                <w:sz w:val="20"/>
              </w:rPr>
            </w:pPr>
            <w:r>
              <w:rPr>
                <w:b/>
                <w:sz w:val="20"/>
              </w:rPr>
              <w:t>Magnitude of emission impact</w:t>
            </w:r>
            <w:r w:rsidR="009C168A">
              <w:rPr>
                <w:rStyle w:val="FootnoteReference"/>
                <w:b/>
                <w:sz w:val="20"/>
              </w:rPr>
              <w:footnoteReference w:id="26"/>
            </w:r>
          </w:p>
        </w:tc>
        <w:tc>
          <w:tcPr>
            <w:tcW w:w="1640" w:type="dxa"/>
            <w:shd w:val="clear" w:color="auto" w:fill="DEEAF6" w:themeFill="accent1" w:themeFillTint="33"/>
          </w:tcPr>
          <w:p w:rsidR="00802A00" w:rsidRPr="00220F8E" w:rsidRDefault="00802A00" w:rsidP="00D0623E">
            <w:pPr>
              <w:pStyle w:val="NoSpacing"/>
              <w:jc w:val="center"/>
              <w:rPr>
                <w:b/>
                <w:sz w:val="20"/>
              </w:rPr>
            </w:pPr>
            <w:r>
              <w:rPr>
                <w:b/>
                <w:sz w:val="20"/>
              </w:rPr>
              <w:t>Comment</w:t>
            </w:r>
          </w:p>
        </w:tc>
      </w:tr>
      <w:tr w:rsidR="003B301C" w:rsidRPr="004608AA" w:rsidTr="003B301C">
        <w:tc>
          <w:tcPr>
            <w:tcW w:w="694" w:type="dxa"/>
            <w:vMerge w:val="restart"/>
            <w:shd w:val="clear" w:color="auto" w:fill="DEEAF6" w:themeFill="accent1" w:themeFillTint="33"/>
            <w:textDirection w:val="btLr"/>
          </w:tcPr>
          <w:p w:rsidR="00802A00" w:rsidRPr="00220F8E" w:rsidRDefault="00802A00" w:rsidP="00D0623E">
            <w:pPr>
              <w:pStyle w:val="NoSpacing"/>
              <w:ind w:left="113" w:right="113"/>
              <w:jc w:val="center"/>
              <w:rPr>
                <w:b/>
                <w:sz w:val="20"/>
              </w:rPr>
            </w:pPr>
            <w:r w:rsidRPr="00220F8E">
              <w:rPr>
                <w:b/>
                <w:sz w:val="20"/>
              </w:rPr>
              <w:t>Direct effects</w:t>
            </w:r>
          </w:p>
        </w:tc>
        <w:tc>
          <w:tcPr>
            <w:tcW w:w="4961" w:type="dxa"/>
          </w:tcPr>
          <w:p w:rsidR="00802A00" w:rsidRPr="00220F8E" w:rsidRDefault="00802A00" w:rsidP="00802A00">
            <w:pPr>
              <w:pStyle w:val="NoSpacing"/>
              <w:rPr>
                <w:sz w:val="20"/>
              </w:rPr>
            </w:pPr>
            <w:r>
              <w:rPr>
                <w:sz w:val="20"/>
              </w:rPr>
              <w:t>Additional rail passenger and freight movement resulting in increased rail fuel consumption and GHG emissions</w:t>
            </w:r>
          </w:p>
        </w:tc>
        <w:tc>
          <w:tcPr>
            <w:tcW w:w="1701" w:type="dxa"/>
            <w:vAlign w:val="center"/>
          </w:tcPr>
          <w:p w:rsidR="00802A00" w:rsidRPr="00220F8E" w:rsidRDefault="00802A00" w:rsidP="003B301C">
            <w:pPr>
              <w:pStyle w:val="NoSpacing"/>
              <w:jc w:val="center"/>
              <w:rPr>
                <w:sz w:val="20"/>
              </w:rPr>
            </w:pPr>
            <w:r>
              <w:rPr>
                <w:sz w:val="20"/>
              </w:rPr>
              <w:t>Large</w:t>
            </w:r>
          </w:p>
        </w:tc>
        <w:tc>
          <w:tcPr>
            <w:tcW w:w="1640" w:type="dxa"/>
            <w:vMerge w:val="restart"/>
            <w:vAlign w:val="center"/>
          </w:tcPr>
          <w:p w:rsidR="00802A00" w:rsidRPr="00220F8E" w:rsidRDefault="00802A00" w:rsidP="00D0623E">
            <w:pPr>
              <w:pStyle w:val="NoSpacing"/>
              <w:jc w:val="center"/>
              <w:rPr>
                <w:sz w:val="20"/>
              </w:rPr>
            </w:pPr>
            <w:r>
              <w:rPr>
                <w:sz w:val="20"/>
              </w:rPr>
              <w:t>Major impact, is quantified</w:t>
            </w:r>
          </w:p>
        </w:tc>
      </w:tr>
      <w:tr w:rsidR="003B301C" w:rsidRPr="00220F8E" w:rsidTr="003B301C">
        <w:tc>
          <w:tcPr>
            <w:tcW w:w="694" w:type="dxa"/>
            <w:vMerge/>
            <w:shd w:val="clear" w:color="auto" w:fill="DEEAF6" w:themeFill="accent1" w:themeFillTint="33"/>
          </w:tcPr>
          <w:p w:rsidR="00802A00" w:rsidRPr="00220F8E" w:rsidRDefault="00802A00" w:rsidP="00D0623E">
            <w:pPr>
              <w:pStyle w:val="NoSpacing"/>
              <w:rPr>
                <w:sz w:val="20"/>
              </w:rPr>
            </w:pPr>
          </w:p>
        </w:tc>
        <w:tc>
          <w:tcPr>
            <w:tcW w:w="4961" w:type="dxa"/>
          </w:tcPr>
          <w:p w:rsidR="00802A00" w:rsidRPr="00220F8E" w:rsidRDefault="00802A00" w:rsidP="00802A00">
            <w:pPr>
              <w:pStyle w:val="NoSpacing"/>
              <w:rPr>
                <w:sz w:val="20"/>
              </w:rPr>
            </w:pPr>
            <w:r>
              <w:rPr>
                <w:sz w:val="20"/>
              </w:rPr>
              <w:t xml:space="preserve">Mode shift road to rail freight and passenger reducing road based fuel consumption and GHG emissions </w:t>
            </w:r>
          </w:p>
        </w:tc>
        <w:tc>
          <w:tcPr>
            <w:tcW w:w="1701" w:type="dxa"/>
            <w:vAlign w:val="center"/>
          </w:tcPr>
          <w:p w:rsidR="00802A00" w:rsidRPr="00220F8E" w:rsidRDefault="00802A00" w:rsidP="003B301C">
            <w:pPr>
              <w:pStyle w:val="NoSpacing"/>
              <w:jc w:val="center"/>
              <w:rPr>
                <w:sz w:val="20"/>
              </w:rPr>
            </w:pPr>
            <w:r>
              <w:rPr>
                <w:sz w:val="20"/>
              </w:rPr>
              <w:t>Large</w:t>
            </w:r>
            <w:r w:rsidR="003B301C">
              <w:rPr>
                <w:sz w:val="20"/>
              </w:rPr>
              <w:t xml:space="preserve"> (avoided)</w:t>
            </w:r>
          </w:p>
        </w:tc>
        <w:tc>
          <w:tcPr>
            <w:tcW w:w="1640" w:type="dxa"/>
            <w:vMerge/>
          </w:tcPr>
          <w:p w:rsidR="00802A00" w:rsidRPr="00220F8E" w:rsidRDefault="00802A00" w:rsidP="00D0623E">
            <w:pPr>
              <w:pStyle w:val="NoSpacing"/>
              <w:jc w:val="center"/>
              <w:rPr>
                <w:sz w:val="20"/>
              </w:rPr>
            </w:pPr>
          </w:p>
        </w:tc>
      </w:tr>
      <w:tr w:rsidR="003B301C" w:rsidRPr="00220F8E" w:rsidTr="003B301C">
        <w:tc>
          <w:tcPr>
            <w:tcW w:w="694" w:type="dxa"/>
            <w:vMerge w:val="restart"/>
            <w:shd w:val="clear" w:color="auto" w:fill="DEEAF6" w:themeFill="accent1" w:themeFillTint="33"/>
            <w:textDirection w:val="btLr"/>
          </w:tcPr>
          <w:p w:rsidR="003B301C" w:rsidRPr="00910D4E" w:rsidRDefault="003B301C" w:rsidP="00D0623E">
            <w:pPr>
              <w:pStyle w:val="NoSpacing"/>
              <w:ind w:left="113" w:right="113"/>
              <w:jc w:val="center"/>
              <w:rPr>
                <w:b/>
                <w:sz w:val="20"/>
              </w:rPr>
            </w:pPr>
            <w:r w:rsidRPr="00910D4E">
              <w:rPr>
                <w:b/>
                <w:sz w:val="20"/>
              </w:rPr>
              <w:t>Indirect effects</w:t>
            </w:r>
          </w:p>
        </w:tc>
        <w:tc>
          <w:tcPr>
            <w:tcW w:w="4961" w:type="dxa"/>
          </w:tcPr>
          <w:p w:rsidR="003B301C" w:rsidRPr="00220F8E" w:rsidRDefault="003B301C" w:rsidP="00D0623E">
            <w:pPr>
              <w:pStyle w:val="NoSpacing"/>
              <w:rPr>
                <w:sz w:val="20"/>
              </w:rPr>
            </w:pPr>
            <w:r>
              <w:rPr>
                <w:sz w:val="20"/>
              </w:rPr>
              <w:t>Rail track construction</w:t>
            </w:r>
            <w:r>
              <w:rPr>
                <w:rStyle w:val="FootnoteReference"/>
                <w:sz w:val="20"/>
              </w:rPr>
              <w:footnoteReference w:id="27"/>
            </w:r>
          </w:p>
        </w:tc>
        <w:tc>
          <w:tcPr>
            <w:tcW w:w="1701" w:type="dxa"/>
            <w:vAlign w:val="center"/>
          </w:tcPr>
          <w:p w:rsidR="003B301C" w:rsidRPr="00220F8E" w:rsidRDefault="003B301C" w:rsidP="003B301C">
            <w:pPr>
              <w:pStyle w:val="NoSpacing"/>
              <w:jc w:val="center"/>
              <w:rPr>
                <w:sz w:val="20"/>
              </w:rPr>
            </w:pPr>
            <w:r>
              <w:rPr>
                <w:sz w:val="20"/>
              </w:rPr>
              <w:t>Moderate</w:t>
            </w:r>
          </w:p>
        </w:tc>
        <w:tc>
          <w:tcPr>
            <w:tcW w:w="1640" w:type="dxa"/>
            <w:vMerge w:val="restart"/>
            <w:vAlign w:val="center"/>
          </w:tcPr>
          <w:p w:rsidR="003B301C" w:rsidRPr="00220F8E" w:rsidRDefault="003B301C" w:rsidP="003B301C">
            <w:pPr>
              <w:pStyle w:val="NoSpacing"/>
              <w:jc w:val="center"/>
              <w:rPr>
                <w:sz w:val="20"/>
              </w:rPr>
            </w:pPr>
            <w:r>
              <w:rPr>
                <w:sz w:val="20"/>
              </w:rPr>
              <w:t>See section 6.7</w:t>
            </w:r>
          </w:p>
        </w:tc>
      </w:tr>
      <w:tr w:rsidR="003B301C" w:rsidRPr="00220F8E" w:rsidTr="003B301C">
        <w:tc>
          <w:tcPr>
            <w:tcW w:w="694" w:type="dxa"/>
            <w:vMerge/>
            <w:shd w:val="clear" w:color="auto" w:fill="DEEAF6" w:themeFill="accent1" w:themeFillTint="33"/>
          </w:tcPr>
          <w:p w:rsidR="003B301C" w:rsidRPr="00220F8E" w:rsidRDefault="003B301C" w:rsidP="00D0623E">
            <w:pPr>
              <w:pStyle w:val="NoSpacing"/>
              <w:rPr>
                <w:sz w:val="20"/>
              </w:rPr>
            </w:pPr>
          </w:p>
        </w:tc>
        <w:tc>
          <w:tcPr>
            <w:tcW w:w="4961" w:type="dxa"/>
          </w:tcPr>
          <w:p w:rsidR="003B301C" w:rsidRPr="00220F8E" w:rsidRDefault="003B301C" w:rsidP="003B301C">
            <w:pPr>
              <w:pStyle w:val="NoSpacing"/>
              <w:rPr>
                <w:sz w:val="20"/>
              </w:rPr>
            </w:pPr>
            <w:r>
              <w:rPr>
                <w:sz w:val="20"/>
              </w:rPr>
              <w:t>Rail locomotive, wagon and carriage production</w:t>
            </w:r>
          </w:p>
        </w:tc>
        <w:tc>
          <w:tcPr>
            <w:tcW w:w="1701" w:type="dxa"/>
            <w:vAlign w:val="center"/>
          </w:tcPr>
          <w:p w:rsidR="003B301C" w:rsidRPr="00220F8E" w:rsidRDefault="003B301C" w:rsidP="003B301C">
            <w:pPr>
              <w:pStyle w:val="NoSpacing"/>
              <w:jc w:val="center"/>
              <w:rPr>
                <w:sz w:val="20"/>
              </w:rPr>
            </w:pPr>
            <w:r>
              <w:rPr>
                <w:sz w:val="20"/>
              </w:rPr>
              <w:t>Small</w:t>
            </w:r>
          </w:p>
        </w:tc>
        <w:tc>
          <w:tcPr>
            <w:tcW w:w="1640" w:type="dxa"/>
            <w:vMerge/>
            <w:vAlign w:val="center"/>
          </w:tcPr>
          <w:p w:rsidR="003B301C" w:rsidRPr="00220F8E" w:rsidRDefault="003B301C" w:rsidP="003B301C">
            <w:pPr>
              <w:pStyle w:val="NoSpacing"/>
              <w:jc w:val="center"/>
              <w:rPr>
                <w:sz w:val="20"/>
              </w:rPr>
            </w:pPr>
          </w:p>
        </w:tc>
      </w:tr>
      <w:tr w:rsidR="003B301C" w:rsidRPr="00316338" w:rsidTr="003B301C">
        <w:tc>
          <w:tcPr>
            <w:tcW w:w="694" w:type="dxa"/>
            <w:vMerge/>
            <w:shd w:val="clear" w:color="auto" w:fill="DEEAF6" w:themeFill="accent1" w:themeFillTint="33"/>
          </w:tcPr>
          <w:p w:rsidR="003B301C" w:rsidRPr="00220F8E" w:rsidRDefault="003B301C" w:rsidP="00D0623E">
            <w:pPr>
              <w:pStyle w:val="NoSpacing"/>
              <w:rPr>
                <w:sz w:val="20"/>
              </w:rPr>
            </w:pPr>
          </w:p>
        </w:tc>
        <w:tc>
          <w:tcPr>
            <w:tcW w:w="4961" w:type="dxa"/>
          </w:tcPr>
          <w:p w:rsidR="003B301C" w:rsidRPr="00220F8E" w:rsidRDefault="003B301C" w:rsidP="003B301C">
            <w:pPr>
              <w:pStyle w:val="NoSpacing"/>
              <w:rPr>
                <w:sz w:val="20"/>
              </w:rPr>
            </w:pPr>
            <w:r>
              <w:rPr>
                <w:sz w:val="20"/>
              </w:rPr>
              <w:t>Upstream well-to-tank (WTT) fuel emissions due to increased rail activity</w:t>
            </w:r>
          </w:p>
        </w:tc>
        <w:tc>
          <w:tcPr>
            <w:tcW w:w="1701" w:type="dxa"/>
            <w:vAlign w:val="center"/>
          </w:tcPr>
          <w:p w:rsidR="003B301C" w:rsidRPr="00220F8E" w:rsidRDefault="003B301C" w:rsidP="003B301C">
            <w:pPr>
              <w:pStyle w:val="NoSpacing"/>
              <w:jc w:val="center"/>
              <w:rPr>
                <w:sz w:val="20"/>
              </w:rPr>
            </w:pPr>
            <w:r>
              <w:rPr>
                <w:sz w:val="20"/>
              </w:rPr>
              <w:t>Large</w:t>
            </w:r>
          </w:p>
        </w:tc>
        <w:tc>
          <w:tcPr>
            <w:tcW w:w="1640" w:type="dxa"/>
            <w:vMerge w:val="restart"/>
            <w:vAlign w:val="center"/>
          </w:tcPr>
          <w:p w:rsidR="003B301C" w:rsidRPr="00220F8E" w:rsidRDefault="003B301C" w:rsidP="003B301C">
            <w:pPr>
              <w:pStyle w:val="NoSpacing"/>
              <w:jc w:val="center"/>
              <w:rPr>
                <w:sz w:val="20"/>
              </w:rPr>
            </w:pPr>
            <w:r>
              <w:rPr>
                <w:sz w:val="20"/>
              </w:rPr>
              <w:t>Is quantified and included in calculations</w:t>
            </w:r>
          </w:p>
        </w:tc>
      </w:tr>
      <w:tr w:rsidR="003B301C" w:rsidRPr="002933CA" w:rsidTr="003B301C">
        <w:tc>
          <w:tcPr>
            <w:tcW w:w="694" w:type="dxa"/>
            <w:vMerge/>
            <w:shd w:val="clear" w:color="auto" w:fill="DEEAF6" w:themeFill="accent1" w:themeFillTint="33"/>
          </w:tcPr>
          <w:p w:rsidR="003B301C" w:rsidRPr="00220F8E" w:rsidRDefault="003B301C" w:rsidP="003B301C">
            <w:pPr>
              <w:pStyle w:val="NoSpacing"/>
              <w:rPr>
                <w:sz w:val="20"/>
              </w:rPr>
            </w:pPr>
          </w:p>
        </w:tc>
        <w:tc>
          <w:tcPr>
            <w:tcW w:w="4961" w:type="dxa"/>
          </w:tcPr>
          <w:p w:rsidR="003B301C" w:rsidRDefault="003B301C" w:rsidP="003B301C">
            <w:pPr>
              <w:pStyle w:val="NoSpacing"/>
              <w:rPr>
                <w:sz w:val="20"/>
              </w:rPr>
            </w:pPr>
            <w:r>
              <w:rPr>
                <w:sz w:val="20"/>
              </w:rPr>
              <w:t>Upstream well-to-tank (WTT) diesel and gasoline emissions of fuel without mode shift</w:t>
            </w:r>
          </w:p>
        </w:tc>
        <w:tc>
          <w:tcPr>
            <w:tcW w:w="1701" w:type="dxa"/>
            <w:vAlign w:val="center"/>
          </w:tcPr>
          <w:p w:rsidR="003B301C" w:rsidRPr="00220F8E" w:rsidRDefault="003B301C" w:rsidP="003B301C">
            <w:pPr>
              <w:pStyle w:val="NoSpacing"/>
              <w:jc w:val="center"/>
              <w:rPr>
                <w:sz w:val="20"/>
              </w:rPr>
            </w:pPr>
            <w:r>
              <w:rPr>
                <w:sz w:val="20"/>
              </w:rPr>
              <w:t>Large (avoided)</w:t>
            </w:r>
          </w:p>
        </w:tc>
        <w:tc>
          <w:tcPr>
            <w:tcW w:w="1640" w:type="dxa"/>
            <w:vMerge/>
            <w:vAlign w:val="center"/>
          </w:tcPr>
          <w:p w:rsidR="003B301C" w:rsidRDefault="003B301C" w:rsidP="003B301C">
            <w:pPr>
              <w:pStyle w:val="NoSpacing"/>
              <w:jc w:val="center"/>
              <w:rPr>
                <w:sz w:val="20"/>
              </w:rPr>
            </w:pPr>
          </w:p>
        </w:tc>
      </w:tr>
      <w:tr w:rsidR="003B301C" w:rsidRPr="002933CA" w:rsidTr="003B301C">
        <w:tc>
          <w:tcPr>
            <w:tcW w:w="694" w:type="dxa"/>
            <w:vMerge/>
            <w:shd w:val="clear" w:color="auto" w:fill="DEEAF6" w:themeFill="accent1" w:themeFillTint="33"/>
          </w:tcPr>
          <w:p w:rsidR="003B301C" w:rsidRPr="00220F8E" w:rsidRDefault="003B301C" w:rsidP="003B301C">
            <w:pPr>
              <w:pStyle w:val="NoSpacing"/>
              <w:rPr>
                <w:sz w:val="20"/>
              </w:rPr>
            </w:pPr>
          </w:p>
        </w:tc>
        <w:tc>
          <w:tcPr>
            <w:tcW w:w="4961" w:type="dxa"/>
          </w:tcPr>
          <w:p w:rsidR="003B301C" w:rsidRDefault="003B301C" w:rsidP="003B301C">
            <w:pPr>
              <w:pStyle w:val="NoSpacing"/>
              <w:rPr>
                <w:sz w:val="20"/>
              </w:rPr>
            </w:pPr>
            <w:r>
              <w:rPr>
                <w:sz w:val="20"/>
              </w:rPr>
              <w:t>Road construction without mode shift to accommodate for additional trucks and buses</w:t>
            </w:r>
            <w:r>
              <w:rPr>
                <w:rStyle w:val="FootnoteReference"/>
                <w:sz w:val="20"/>
              </w:rPr>
              <w:footnoteReference w:id="28"/>
            </w:r>
          </w:p>
        </w:tc>
        <w:tc>
          <w:tcPr>
            <w:tcW w:w="1701" w:type="dxa"/>
            <w:vAlign w:val="center"/>
          </w:tcPr>
          <w:p w:rsidR="003B301C" w:rsidRPr="00220F8E" w:rsidRDefault="003B301C" w:rsidP="003B301C">
            <w:pPr>
              <w:pStyle w:val="NoSpacing"/>
              <w:jc w:val="center"/>
              <w:rPr>
                <w:sz w:val="20"/>
              </w:rPr>
            </w:pPr>
            <w:r>
              <w:rPr>
                <w:sz w:val="20"/>
              </w:rPr>
              <w:t>Small (avoided)</w:t>
            </w:r>
          </w:p>
        </w:tc>
        <w:tc>
          <w:tcPr>
            <w:tcW w:w="1640" w:type="dxa"/>
            <w:vMerge w:val="restart"/>
            <w:vAlign w:val="center"/>
          </w:tcPr>
          <w:p w:rsidR="003B301C" w:rsidRPr="00220F8E" w:rsidRDefault="003B301C" w:rsidP="003B301C">
            <w:pPr>
              <w:pStyle w:val="NoSpacing"/>
              <w:jc w:val="center"/>
              <w:rPr>
                <w:sz w:val="20"/>
              </w:rPr>
            </w:pPr>
            <w:r>
              <w:rPr>
                <w:sz w:val="20"/>
              </w:rPr>
              <w:t>See section 6.7</w:t>
            </w:r>
          </w:p>
        </w:tc>
      </w:tr>
      <w:tr w:rsidR="003B301C" w:rsidRPr="002933CA" w:rsidTr="003B301C">
        <w:tc>
          <w:tcPr>
            <w:tcW w:w="694" w:type="dxa"/>
            <w:vMerge/>
            <w:shd w:val="clear" w:color="auto" w:fill="DEEAF6" w:themeFill="accent1" w:themeFillTint="33"/>
          </w:tcPr>
          <w:p w:rsidR="003B301C" w:rsidRPr="00220F8E" w:rsidRDefault="003B301C" w:rsidP="003B301C">
            <w:pPr>
              <w:pStyle w:val="NoSpacing"/>
              <w:rPr>
                <w:sz w:val="20"/>
              </w:rPr>
            </w:pPr>
          </w:p>
        </w:tc>
        <w:tc>
          <w:tcPr>
            <w:tcW w:w="4961" w:type="dxa"/>
          </w:tcPr>
          <w:p w:rsidR="003B301C" w:rsidRDefault="003B301C" w:rsidP="003B301C">
            <w:pPr>
              <w:pStyle w:val="NoSpacing"/>
              <w:rPr>
                <w:sz w:val="20"/>
              </w:rPr>
            </w:pPr>
            <w:r>
              <w:rPr>
                <w:sz w:val="20"/>
              </w:rPr>
              <w:t>Vehicle production emissions without mode shift</w:t>
            </w:r>
            <w:r>
              <w:rPr>
                <w:rStyle w:val="FootnoteReference"/>
                <w:sz w:val="20"/>
              </w:rPr>
              <w:footnoteReference w:id="29"/>
            </w:r>
          </w:p>
        </w:tc>
        <w:tc>
          <w:tcPr>
            <w:tcW w:w="1701" w:type="dxa"/>
          </w:tcPr>
          <w:p w:rsidR="003B301C" w:rsidRPr="00220F8E" w:rsidRDefault="003B301C" w:rsidP="003B301C">
            <w:pPr>
              <w:pStyle w:val="NoSpacing"/>
              <w:jc w:val="center"/>
              <w:rPr>
                <w:sz w:val="20"/>
              </w:rPr>
            </w:pPr>
            <w:r>
              <w:rPr>
                <w:sz w:val="20"/>
              </w:rPr>
              <w:t>Small (avoided)</w:t>
            </w:r>
          </w:p>
        </w:tc>
        <w:tc>
          <w:tcPr>
            <w:tcW w:w="1640" w:type="dxa"/>
            <w:vMerge/>
          </w:tcPr>
          <w:p w:rsidR="003B301C" w:rsidRPr="00220F8E" w:rsidRDefault="003B301C" w:rsidP="003B301C">
            <w:pPr>
              <w:pStyle w:val="NoSpacing"/>
              <w:jc w:val="center"/>
              <w:rPr>
                <w:sz w:val="20"/>
              </w:rPr>
            </w:pPr>
          </w:p>
        </w:tc>
      </w:tr>
      <w:tr w:rsidR="003B301C" w:rsidRPr="00910D4E" w:rsidTr="003B301C">
        <w:tc>
          <w:tcPr>
            <w:tcW w:w="694" w:type="dxa"/>
            <w:vMerge/>
            <w:shd w:val="clear" w:color="auto" w:fill="DEEAF6" w:themeFill="accent1" w:themeFillTint="33"/>
          </w:tcPr>
          <w:p w:rsidR="003B301C" w:rsidRPr="00220F8E" w:rsidRDefault="003B301C" w:rsidP="003B301C">
            <w:pPr>
              <w:pStyle w:val="NoSpacing"/>
              <w:rPr>
                <w:sz w:val="20"/>
              </w:rPr>
            </w:pPr>
          </w:p>
        </w:tc>
        <w:tc>
          <w:tcPr>
            <w:tcW w:w="4961" w:type="dxa"/>
          </w:tcPr>
          <w:p w:rsidR="003B301C" w:rsidRDefault="003B301C" w:rsidP="003B301C">
            <w:pPr>
              <w:pStyle w:val="NoSpacing"/>
              <w:rPr>
                <w:sz w:val="20"/>
              </w:rPr>
            </w:pPr>
            <w:r>
              <w:rPr>
                <w:sz w:val="20"/>
              </w:rPr>
              <w:t>Congestion impact and induced traffic</w:t>
            </w:r>
          </w:p>
        </w:tc>
        <w:tc>
          <w:tcPr>
            <w:tcW w:w="1701" w:type="dxa"/>
          </w:tcPr>
          <w:p w:rsidR="003B301C" w:rsidRPr="00220F8E" w:rsidRDefault="003B301C" w:rsidP="003B301C">
            <w:pPr>
              <w:pStyle w:val="NoSpacing"/>
              <w:jc w:val="center"/>
              <w:rPr>
                <w:sz w:val="20"/>
              </w:rPr>
            </w:pPr>
            <w:r>
              <w:rPr>
                <w:sz w:val="20"/>
              </w:rPr>
              <w:t>Small</w:t>
            </w:r>
          </w:p>
        </w:tc>
        <w:tc>
          <w:tcPr>
            <w:tcW w:w="1640" w:type="dxa"/>
            <w:vMerge/>
          </w:tcPr>
          <w:p w:rsidR="003B301C" w:rsidRPr="00220F8E" w:rsidRDefault="003B301C" w:rsidP="003B301C">
            <w:pPr>
              <w:pStyle w:val="NoSpacing"/>
              <w:jc w:val="center"/>
              <w:rPr>
                <w:sz w:val="20"/>
              </w:rPr>
            </w:pPr>
          </w:p>
        </w:tc>
      </w:tr>
    </w:tbl>
    <w:p w:rsidR="000554BB" w:rsidRDefault="00802A00" w:rsidP="00B43ADE">
      <w:pPr>
        <w:jc w:val="both"/>
      </w:pPr>
      <w:r w:rsidRPr="00475811">
        <w:rPr>
          <w:sz w:val="20"/>
        </w:rPr>
        <w:t>Source</w:t>
      </w:r>
      <w:r>
        <w:rPr>
          <w:sz w:val="20"/>
        </w:rPr>
        <w:t>:</w:t>
      </w:r>
      <w:r w:rsidRPr="00475811">
        <w:rPr>
          <w:sz w:val="20"/>
        </w:rPr>
        <w:t xml:space="preserve"> Grütter Consulting</w:t>
      </w:r>
    </w:p>
    <w:p w:rsidR="00867C37" w:rsidRDefault="00187E68" w:rsidP="00867C37">
      <w:pPr>
        <w:pStyle w:val="Heading2"/>
        <w:numPr>
          <w:ilvl w:val="1"/>
          <w:numId w:val="1"/>
        </w:numPr>
      </w:pPr>
      <w:r>
        <w:br w:type="column"/>
      </w:r>
      <w:bookmarkStart w:id="16" w:name="_Toc466207342"/>
      <w:r w:rsidR="00867C37">
        <w:lastRenderedPageBreak/>
        <w:t>Methodological Approach</w:t>
      </w:r>
      <w:bookmarkEnd w:id="16"/>
    </w:p>
    <w:p w:rsidR="00867C37" w:rsidRDefault="00867C37" w:rsidP="00867C37"/>
    <w:p w:rsidR="008C7322" w:rsidRDefault="008C7322" w:rsidP="008C7322">
      <w:pPr>
        <w:jc w:val="both"/>
      </w:pPr>
      <w:r>
        <w:t xml:space="preserve">The GHG mitigation impact is the difference between a </w:t>
      </w:r>
      <w:r w:rsidR="00E62DDE">
        <w:t>baseline scenario (Business as U</w:t>
      </w:r>
      <w:r>
        <w:t>sual) and a situation with NAMA options. To determine the baseline sce</w:t>
      </w:r>
      <w:r w:rsidR="00E62DDE">
        <w:t>nario two major parameters need</w:t>
      </w:r>
      <w:r>
        <w:t xml:space="preserve"> to be defined:</w:t>
      </w:r>
    </w:p>
    <w:p w:rsidR="008C7322" w:rsidRDefault="008C7322" w:rsidP="008C7322">
      <w:pPr>
        <w:pStyle w:val="ListParagraph"/>
        <w:numPr>
          <w:ilvl w:val="0"/>
          <w:numId w:val="10"/>
        </w:numPr>
        <w:jc w:val="both"/>
        <w:rPr>
          <w:lang w:val="en-GB"/>
        </w:rPr>
      </w:pPr>
      <w:r w:rsidRPr="00F51635">
        <w:rPr>
          <w:lang w:val="en-GB"/>
        </w:rPr>
        <w:t>Activity level: which is</w:t>
      </w:r>
      <w:r>
        <w:rPr>
          <w:lang w:val="en-GB"/>
        </w:rPr>
        <w:t xml:space="preserve"> t</w:t>
      </w:r>
      <w:r w:rsidRPr="00F51635">
        <w:rPr>
          <w:lang w:val="en-GB"/>
        </w:rPr>
        <w:t xml:space="preserve">he rail activity level in absence of NAMA actions i.e. </w:t>
      </w:r>
      <w:r>
        <w:rPr>
          <w:lang w:val="en-GB"/>
        </w:rPr>
        <w:t>how many pkm and tkm would rail have transported under BAU;</w:t>
      </w:r>
    </w:p>
    <w:p w:rsidR="008C7322" w:rsidRPr="008C7322" w:rsidRDefault="008C7322" w:rsidP="008C7322">
      <w:pPr>
        <w:pStyle w:val="ListParagraph"/>
        <w:numPr>
          <w:ilvl w:val="0"/>
          <w:numId w:val="10"/>
        </w:numPr>
        <w:jc w:val="both"/>
        <w:rPr>
          <w:lang w:val="en-GB"/>
        </w:rPr>
      </w:pPr>
      <w:r>
        <w:rPr>
          <w:lang w:val="en-GB"/>
        </w:rPr>
        <w:t xml:space="preserve">Modes of transport used in absence of rail i.e. what mode would passengers have chosen and what mode of transport would be used by freight </w:t>
      </w:r>
      <w:r w:rsidR="00E62DDE">
        <w:rPr>
          <w:lang w:val="en-GB"/>
        </w:rPr>
        <w:t xml:space="preserve">in absence of rail </w:t>
      </w:r>
      <w:r>
        <w:rPr>
          <w:lang w:val="en-GB"/>
        </w:rPr>
        <w:t>for the additional pkm and tkm and the corresponding emission factor per mode.</w:t>
      </w:r>
    </w:p>
    <w:p w:rsidR="008C7322" w:rsidRPr="00AC6EDE" w:rsidRDefault="008C7322" w:rsidP="00AC6EDE">
      <w:pPr>
        <w:pStyle w:val="NoSpacing"/>
        <w:rPr>
          <w:b/>
          <w:sz w:val="20"/>
          <w:szCs w:val="20"/>
        </w:rPr>
      </w:pPr>
      <w:r w:rsidRPr="00AC6EDE">
        <w:rPr>
          <w:rStyle w:val="NoSpacingChar"/>
          <w:b/>
          <w:noProof/>
          <w:sz w:val="20"/>
          <w:szCs w:val="20"/>
          <w:lang w:eastAsia="en-GB"/>
        </w:rPr>
        <mc:AlternateContent>
          <mc:Choice Requires="wps">
            <w:drawing>
              <wp:anchor distT="0" distB="0" distL="114300" distR="114300" simplePos="0" relativeHeight="251677696" behindDoc="0" locked="0" layoutInCell="1" allowOverlap="1" wp14:anchorId="351B7B04" wp14:editId="7A4B2A88">
                <wp:simplePos x="0" y="0"/>
                <wp:positionH relativeFrom="column">
                  <wp:posOffset>-17780</wp:posOffset>
                </wp:positionH>
                <wp:positionV relativeFrom="paragraph">
                  <wp:posOffset>184785</wp:posOffset>
                </wp:positionV>
                <wp:extent cx="5692775" cy="1129030"/>
                <wp:effectExtent l="0" t="0" r="22225" b="13970"/>
                <wp:wrapNone/>
                <wp:docPr id="3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2775" cy="1129030"/>
                        </a:xfrm>
                        <a:prstGeom prst="rect">
                          <a:avLst/>
                        </a:prstGeom>
                        <a:solidFill>
                          <a:srgbClr val="FFFFFF"/>
                        </a:solidFill>
                        <a:ln w="9525">
                          <a:solidFill>
                            <a:srgbClr val="000000"/>
                          </a:solidFill>
                          <a:miter lim="800000"/>
                          <a:headEnd/>
                          <a:tailEnd/>
                        </a:ln>
                      </wps:spPr>
                      <wps:txbx>
                        <w:txbxContent>
                          <w:p w:rsidR="00100058" w:rsidRPr="00127DE8" w:rsidRDefault="00100058" w:rsidP="008C7322">
                            <w:pPr>
                              <w:rPr>
                                <w:lang w:val="de-D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51B7B04" id="_x0000_t202" coordsize="21600,21600" o:spt="202" path="m,l,21600r21600,l21600,xe">
                <v:stroke joinstyle="miter"/>
                <v:path gradientshapeok="t" o:connecttype="rect"/>
              </v:shapetype>
              <v:shape id="Textfeld 2" o:spid="_x0000_s1026" type="#_x0000_t202" style="position:absolute;margin-left:-1.4pt;margin-top:14.55pt;width:448.25pt;height:88.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">
                <v:textbox>
                  <w:txbxContent>
                    <w:p w:rsidR="00100058" w:rsidRPr="00127DE8" w:rsidRDefault="00100058" w:rsidP="008C7322">
                      <w:pPr>
                        <w:rPr>
                          <w:lang w:val="de-DE"/>
                        </w:rPr>
                      </w:pPr>
                    </w:p>
                  </w:txbxContent>
                </v:textbox>
              </v:shape>
            </w:pict>
          </mc:Fallback>
        </mc:AlternateContent>
      </w:r>
      <w:r w:rsidRPr="00AC6EDE">
        <w:rPr>
          <w:rStyle w:val="NoSpacingChar"/>
          <w:b/>
          <w:noProof/>
          <w:sz w:val="20"/>
          <w:szCs w:val="20"/>
          <w:lang w:eastAsia="en-GB"/>
        </w:rPr>
        <mc:AlternateContent>
          <mc:Choice Requires="wps">
            <w:drawing>
              <wp:anchor distT="0" distB="0" distL="114300" distR="114300" simplePos="0" relativeHeight="251682816" behindDoc="0" locked="0" layoutInCell="1" allowOverlap="1" wp14:anchorId="30AB9AB1" wp14:editId="425A58BC">
                <wp:simplePos x="0" y="0"/>
                <wp:positionH relativeFrom="column">
                  <wp:posOffset>3640400</wp:posOffset>
                </wp:positionH>
                <wp:positionV relativeFrom="paragraph">
                  <wp:posOffset>296406</wp:posOffset>
                </wp:positionV>
                <wp:extent cx="1622066" cy="882595"/>
                <wp:effectExtent l="0" t="0" r="16510" b="13335"/>
                <wp:wrapNone/>
                <wp:docPr id="324" name="Flussdiagramm: Verzweigung 308"/>
                <wp:cNvGraphicFramePr/>
                <a:graphic xmlns:a="http://schemas.openxmlformats.org/drawingml/2006/main">
                  <a:graphicData uri="http://schemas.microsoft.com/office/word/2010/wordprocessingShape">
                    <wps:wsp>
                      <wps:cNvSpPr/>
                      <wps:spPr>
                        <a:xfrm>
                          <a:off x="0" y="0"/>
                          <a:ext cx="1622066" cy="882595"/>
                        </a:xfrm>
                        <a:prstGeom prst="flowChartDecision">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100058" w:rsidRPr="00127DE8" w:rsidRDefault="00100058" w:rsidP="008C7322">
                            <w:pPr>
                              <w:jc w:val="center"/>
                              <w:rPr>
                                <w:lang w:val="de-DE"/>
                              </w:rPr>
                            </w:pPr>
                            <w:r>
                              <w:rPr>
                                <w:lang w:val="de-DE"/>
                              </w:rPr>
                              <w:t>Baseline Emissions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AB9AB1" id="_x0000_t110" coordsize="21600,21600" o:spt="110" path="m10800,l,10800,10800,21600,21600,10800xe">
                <v:stroke joinstyle="miter"/>
                <v:path gradientshapeok="t" o:connecttype="rect" textboxrect="5400,5400,16200,16200"/>
              </v:shapetype>
              <v:shape id="Flussdiagramm: Verzweigung 308" o:spid="_x0000_s1027" type="#_x0000_t110" style="position:absolute;margin-left:286.65pt;margin-top:23.35pt;width:127.7pt;height:6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" fillcolor="#a5a5a5 [3206]" strokecolor="#525252 [1606]" strokeweight="1pt">
                <v:textbox>
                  <w:txbxContent>
                    <w:p w:rsidR="00100058" w:rsidRPr="00127DE8" w:rsidRDefault="00100058" w:rsidP="008C7322">
                      <w:pPr>
                        <w:jc w:val="center"/>
                        <w:rPr>
                          <w:lang w:val="de-DE"/>
                        </w:rPr>
                      </w:pPr>
                      <w:r>
                        <w:rPr>
                          <w:lang w:val="de-DE"/>
                        </w:rPr>
                        <w:t>Baseline Emissions</w:t>
                      </w:r>
                    </w:p>
                  </w:txbxContent>
                </v:textbox>
              </v:shape>
            </w:pict>
          </mc:Fallback>
        </mc:AlternateContent>
      </w:r>
      <w:r w:rsidR="00AC6EDE" w:rsidRPr="00AC6EDE">
        <w:rPr>
          <w:rStyle w:val="NoSpacingChar"/>
          <w:b/>
          <w:sz w:val="20"/>
          <w:szCs w:val="20"/>
        </w:rPr>
        <w:t xml:space="preserve">Figure </w:t>
      </w:r>
      <w:r w:rsidR="00AC6EDE" w:rsidRPr="00AC6EDE">
        <w:rPr>
          <w:rStyle w:val="NoSpacingChar"/>
          <w:b/>
          <w:sz w:val="20"/>
          <w:szCs w:val="20"/>
        </w:rPr>
        <w:fldChar w:fldCharType="begin"/>
      </w:r>
      <w:r w:rsidR="00AC6EDE" w:rsidRPr="00AC6EDE">
        <w:rPr>
          <w:rStyle w:val="NoSpacingChar"/>
          <w:b/>
          <w:sz w:val="20"/>
          <w:szCs w:val="20"/>
        </w:rPr>
        <w:instrText xml:space="preserve"> SEQ Figure \* ARABIC </w:instrText>
      </w:r>
      <w:r w:rsidR="00AC6EDE" w:rsidRPr="00AC6EDE">
        <w:rPr>
          <w:rStyle w:val="NoSpacingChar"/>
          <w:b/>
          <w:sz w:val="20"/>
          <w:szCs w:val="20"/>
        </w:rPr>
        <w:fldChar w:fldCharType="separate"/>
      </w:r>
      <w:r w:rsidR="00AC6EDE">
        <w:rPr>
          <w:rStyle w:val="NoSpacingChar"/>
          <w:b/>
          <w:noProof/>
          <w:sz w:val="20"/>
          <w:szCs w:val="20"/>
        </w:rPr>
        <w:t>10</w:t>
      </w:r>
      <w:r w:rsidR="00AC6EDE" w:rsidRPr="00AC6EDE">
        <w:rPr>
          <w:rStyle w:val="NoSpacingChar"/>
          <w:b/>
          <w:sz w:val="20"/>
          <w:szCs w:val="20"/>
        </w:rPr>
        <w:fldChar w:fldCharType="end"/>
      </w:r>
      <w:r w:rsidRPr="00AC6EDE">
        <w:rPr>
          <w:b/>
          <w:sz w:val="20"/>
          <w:szCs w:val="20"/>
        </w:rPr>
        <w:t>: Elements of the Baseline</w:t>
      </w:r>
    </w:p>
    <w:p w:rsidR="008C7322" w:rsidRPr="008C7322" w:rsidRDefault="008C7322" w:rsidP="008C7322">
      <w:pPr>
        <w:pStyle w:val="ListParagraph"/>
        <w:numPr>
          <w:ilvl w:val="0"/>
          <w:numId w:val="10"/>
        </w:numPr>
        <w:rPr>
          <w:sz w:val="20"/>
          <w:lang w:val="en-GB"/>
        </w:rPr>
      </w:pPr>
      <w:r w:rsidRPr="00C34A81">
        <w:rPr>
          <w:noProof/>
          <w:lang w:val="en-GB" w:eastAsia="en-GB"/>
        </w:rPr>
        <mc:AlternateContent>
          <mc:Choice Requires="wps">
            <w:drawing>
              <wp:anchor distT="0" distB="0" distL="114300" distR="114300" simplePos="0" relativeHeight="251678720" behindDoc="0" locked="0" layoutInCell="1" allowOverlap="1" wp14:anchorId="18140AC7" wp14:editId="53EE2A3E">
                <wp:simplePos x="0" y="0"/>
                <wp:positionH relativeFrom="column">
                  <wp:posOffset>38100</wp:posOffset>
                </wp:positionH>
                <wp:positionV relativeFrom="paragraph">
                  <wp:posOffset>121920</wp:posOffset>
                </wp:positionV>
                <wp:extent cx="1280160" cy="667385"/>
                <wp:effectExtent l="0" t="0" r="15240" b="18415"/>
                <wp:wrapNone/>
                <wp:docPr id="325" name="Ellipse 292"/>
                <wp:cNvGraphicFramePr/>
                <a:graphic xmlns:a="http://schemas.openxmlformats.org/drawingml/2006/main">
                  <a:graphicData uri="http://schemas.microsoft.com/office/word/2010/wordprocessingShape">
                    <wps:wsp>
                      <wps:cNvSpPr/>
                      <wps:spPr>
                        <a:xfrm>
                          <a:off x="0" y="0"/>
                          <a:ext cx="1280160" cy="667385"/>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txbx>
                        <w:txbxContent>
                          <w:p w:rsidR="00100058" w:rsidRPr="00127DE8" w:rsidRDefault="00100058" w:rsidP="008C7322">
                            <w:pPr>
                              <w:jc w:val="center"/>
                              <w:rPr>
                                <w:lang w:val="de-DE"/>
                              </w:rPr>
                            </w:pPr>
                            <w:r>
                              <w:rPr>
                                <w:lang w:val="de-DE"/>
                              </w:rPr>
                              <w:t>Rail Activity Level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140AC7" id="Ellipse 292" o:spid="_x0000_s1028" style="position:absolute;left:0;text-align:left;margin-left:3pt;margin-top:9.6pt;width:100.8pt;height:52.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" fillcolor="#ed7d31 [3205]" strokecolor="#823b0b [1605]" strokeweight="1pt">
                <v:stroke joinstyle="miter"/>
                <v:textbox>
                  <w:txbxContent>
                    <w:p w:rsidR="00100058" w:rsidRPr="00127DE8" w:rsidRDefault="00100058" w:rsidP="008C7322">
                      <w:pPr>
                        <w:jc w:val="center"/>
                        <w:rPr>
                          <w:lang w:val="de-DE"/>
                        </w:rPr>
                      </w:pPr>
                      <w:r>
                        <w:rPr>
                          <w:lang w:val="de-DE"/>
                        </w:rPr>
                        <w:t>Rail Activity Level</w:t>
                      </w:r>
                    </w:p>
                  </w:txbxContent>
                </v:textbox>
              </v:oval>
            </w:pict>
          </mc:Fallback>
        </mc:AlternateContent>
      </w:r>
      <w:r w:rsidRPr="00C34A81">
        <w:rPr>
          <w:noProof/>
          <w:lang w:val="en-GB" w:eastAsia="en-GB"/>
        </w:rPr>
        <mc:AlternateContent>
          <mc:Choice Requires="wps">
            <w:drawing>
              <wp:anchor distT="0" distB="0" distL="114300" distR="114300" simplePos="0" relativeHeight="251679744" behindDoc="0" locked="0" layoutInCell="1" allowOverlap="1" wp14:anchorId="72D75DF8" wp14:editId="4B3CDDF1">
                <wp:simplePos x="0" y="0"/>
                <wp:positionH relativeFrom="column">
                  <wp:posOffset>1317625</wp:posOffset>
                </wp:positionH>
                <wp:positionV relativeFrom="paragraph">
                  <wp:posOffset>234315</wp:posOffset>
                </wp:positionV>
                <wp:extent cx="429260" cy="452755"/>
                <wp:effectExtent l="0" t="0" r="0" b="0"/>
                <wp:wrapNone/>
                <wp:docPr id="326" name="Multiplizieren 304"/>
                <wp:cNvGraphicFramePr/>
                <a:graphic xmlns:a="http://schemas.openxmlformats.org/drawingml/2006/main">
                  <a:graphicData uri="http://schemas.microsoft.com/office/word/2010/wordprocessingShape">
                    <wps:wsp>
                      <wps:cNvSpPr/>
                      <wps:spPr>
                        <a:xfrm>
                          <a:off x="0" y="0"/>
                          <a:ext cx="429260" cy="452755"/>
                        </a:xfrm>
                        <a:prstGeom prst="mathMultiply">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C5B2B19" id="Multiplizieren 304" o:spid="_x0000_s1026" style="position:absolute;margin-left:103.75pt;margin-top:18.45pt;width:33.8pt;height:35.65pt;z-index:251679744;visibility:visible;mso-wrap-style:square;mso-wrap-distance-left:9pt;mso-wrap-distance-top:0;mso-wrap-distance-right:9pt;mso-wrap-distance-bottom:0;mso-position-horizontal:absolute;mso-position-horizontal-relative:text;mso-position-vertical:absolute;mso-position-vertical-relative:text;v-text-anchor:middle" coordsize="429260,452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" path="m66464,143473l139731,74008r74899,78999l289529,74008r73267,69465l284193,226378r78603,82904l289529,378747,214630,299748r-74899,78999l66464,309282r78603,-82904l66464,143473xe" fillcolor="black [3200]" strokecolor="black [1600]" strokeweight="1pt">
                <v:stroke joinstyle="miter"/>
                <v:path arrowok="t" o:connecttype="custom" o:connectlocs="66464,143473;139731,74008;214630,153007;289529,74008;362796,143473;284193,226378;362796,309282;289529,378747;214630,299748;139731,378747;66464,309282;145067,226378;66464,143473" o:connectangles="0,0,0,0,0,0,0,0,0,0,0,0,0"/>
              </v:shape>
            </w:pict>
          </mc:Fallback>
        </mc:AlternateContent>
      </w:r>
      <w:r w:rsidRPr="00C34A81">
        <w:rPr>
          <w:noProof/>
          <w:lang w:val="en-GB" w:eastAsia="en-GB"/>
        </w:rPr>
        <mc:AlternateContent>
          <mc:Choice Requires="wps">
            <w:drawing>
              <wp:anchor distT="0" distB="0" distL="114300" distR="114300" simplePos="0" relativeHeight="251681792" behindDoc="0" locked="0" layoutInCell="1" allowOverlap="1" wp14:anchorId="791B4149" wp14:editId="25A48C73">
                <wp:simplePos x="0" y="0"/>
                <wp:positionH relativeFrom="column">
                  <wp:posOffset>3035935</wp:posOffset>
                </wp:positionH>
                <wp:positionV relativeFrom="paragraph">
                  <wp:posOffset>274955</wp:posOffset>
                </wp:positionV>
                <wp:extent cx="516255" cy="340995"/>
                <wp:effectExtent l="0" t="0" r="0" b="0"/>
                <wp:wrapNone/>
                <wp:docPr id="327" name="Gleich 306"/>
                <wp:cNvGraphicFramePr/>
                <a:graphic xmlns:a="http://schemas.openxmlformats.org/drawingml/2006/main">
                  <a:graphicData uri="http://schemas.microsoft.com/office/word/2010/wordprocessingShape">
                    <wps:wsp>
                      <wps:cNvSpPr/>
                      <wps:spPr>
                        <a:xfrm>
                          <a:off x="0" y="0"/>
                          <a:ext cx="516255" cy="340995"/>
                        </a:xfrm>
                        <a:prstGeom prst="mathEqual">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3A1593F" id="Gleich 306" o:spid="_x0000_s1026" style="position:absolute;margin-left:239.05pt;margin-top:21.65pt;width:40.65pt;height:26.8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16255,340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" path="m68430,70245r379395,l447825,150447r-379395,l68430,70245xm68430,190548r379395,l447825,270750r-379395,l68430,190548xe" fillcolor="black [3200]" strokecolor="black [1600]" strokeweight="1pt">
                <v:stroke joinstyle="miter"/>
                <v:path arrowok="t" o:connecttype="custom" o:connectlocs="68430,70245;447825,70245;447825,150447;68430,150447;68430,70245;68430,190548;447825,190548;447825,270750;68430,270750;68430,190548" o:connectangles="0,0,0,0,0,0,0,0,0,0"/>
              </v:shape>
            </w:pict>
          </mc:Fallback>
        </mc:AlternateContent>
      </w:r>
      <w:r w:rsidRPr="00C34A81">
        <w:rPr>
          <w:noProof/>
          <w:lang w:val="en-GB" w:eastAsia="en-GB"/>
        </w:rPr>
        <mc:AlternateContent>
          <mc:Choice Requires="wps">
            <w:drawing>
              <wp:anchor distT="0" distB="0" distL="114300" distR="114300" simplePos="0" relativeHeight="251680768" behindDoc="0" locked="0" layoutInCell="1" allowOverlap="1" wp14:anchorId="34ACE63A" wp14:editId="68091FBA">
                <wp:simplePos x="0" y="0"/>
                <wp:positionH relativeFrom="column">
                  <wp:posOffset>1803400</wp:posOffset>
                </wp:positionH>
                <wp:positionV relativeFrom="paragraph">
                  <wp:posOffset>162560</wp:posOffset>
                </wp:positionV>
                <wp:extent cx="1176655" cy="524510"/>
                <wp:effectExtent l="0" t="0" r="23495" b="27940"/>
                <wp:wrapNone/>
                <wp:docPr id="328" name="Rechteck 305"/>
                <wp:cNvGraphicFramePr/>
                <a:graphic xmlns:a="http://schemas.openxmlformats.org/drawingml/2006/main">
                  <a:graphicData uri="http://schemas.microsoft.com/office/word/2010/wordprocessingShape">
                    <wps:wsp>
                      <wps:cNvSpPr/>
                      <wps:spPr>
                        <a:xfrm>
                          <a:off x="0" y="0"/>
                          <a:ext cx="1176655" cy="5245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00058" w:rsidRPr="00127DE8" w:rsidRDefault="00100058" w:rsidP="008C7322">
                            <w:pPr>
                              <w:jc w:val="center"/>
                              <w:rPr>
                                <w:lang w:val="de-DE"/>
                              </w:rPr>
                            </w:pPr>
                            <w:r>
                              <w:rPr>
                                <w:lang w:val="de-DE"/>
                              </w:rPr>
                              <w:t>Emission Factor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ACE63A" id="Rechteck 305" o:spid="_x0000_s1029" style="position:absolute;left:0;text-align:left;margin-left:142pt;margin-top:12.8pt;width:92.65pt;height:41.3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" fillcolor="#5b9bd5 [3204]" strokecolor="#1f4d78 [1604]" strokeweight="1pt">
                <v:textbox>
                  <w:txbxContent>
                    <w:p w:rsidR="00100058" w:rsidRPr="00127DE8" w:rsidRDefault="00100058" w:rsidP="008C7322">
                      <w:pPr>
                        <w:jc w:val="center"/>
                        <w:rPr>
                          <w:lang w:val="de-DE"/>
                        </w:rPr>
                      </w:pPr>
                      <w:r>
                        <w:rPr>
                          <w:lang w:val="de-DE"/>
                        </w:rPr>
                        <w:t>Emission Factor</w:t>
                      </w:r>
                    </w:p>
                  </w:txbxContent>
                </v:textbox>
              </v:rect>
            </w:pict>
          </mc:Fallback>
        </mc:AlternateContent>
      </w:r>
    </w:p>
    <w:p w:rsidR="008C7322" w:rsidRPr="008C7322" w:rsidRDefault="008C7322" w:rsidP="008C7322">
      <w:pPr>
        <w:pStyle w:val="ListParagraph"/>
        <w:numPr>
          <w:ilvl w:val="0"/>
          <w:numId w:val="10"/>
        </w:numPr>
        <w:rPr>
          <w:sz w:val="20"/>
          <w:lang w:val="en-GB"/>
        </w:rPr>
      </w:pPr>
    </w:p>
    <w:p w:rsidR="00B43ADE" w:rsidRDefault="00B43ADE" w:rsidP="00867C37"/>
    <w:p w:rsidR="00B43ADE" w:rsidRDefault="00B43ADE" w:rsidP="00867C37"/>
    <w:p w:rsidR="008C7322" w:rsidRDefault="008C7322" w:rsidP="008C7322">
      <w:pPr>
        <w:pStyle w:val="Heading2"/>
      </w:pPr>
    </w:p>
    <w:p w:rsidR="00F714A3" w:rsidRDefault="00E62DDE" w:rsidP="00F714A3">
      <w:pPr>
        <w:jc w:val="both"/>
      </w:pPr>
      <w:r>
        <w:t xml:space="preserve">The calculation procedure applied does not determine </w:t>
      </w:r>
      <w:r w:rsidR="00F714A3">
        <w:t xml:space="preserve">the entire inter-urban transport emissions. The baseline only reflects the emissions which would have been caused by the freight and passenger movement realized with the NAMA. They therefore only reflect the GHG emissions of the amount of freight and passengers transported by rail. Total transport related inter-urban emissions are significantly higher as the majority of transport </w:t>
      </w:r>
      <w:r>
        <w:t xml:space="preserve">is </w:t>
      </w:r>
      <w:r w:rsidR="00F714A3">
        <w:t xml:space="preserve">realized by road transport. </w:t>
      </w:r>
    </w:p>
    <w:p w:rsidR="00F714A3" w:rsidRPr="00F714A3" w:rsidRDefault="00F714A3" w:rsidP="00F714A3">
      <w:pPr>
        <w:jc w:val="both"/>
      </w:pPr>
      <w:r>
        <w:t>A differentiation between freight and passenger transport is made due to usage of different modes with different emission factors. However</w:t>
      </w:r>
      <w:r w:rsidR="009C168A">
        <w:t>,</w:t>
      </w:r>
      <w:r>
        <w:t xml:space="preserve"> calculation steps (see following figure) and formulas used are identical.</w:t>
      </w:r>
    </w:p>
    <w:p w:rsidR="008C7322" w:rsidRPr="008C7322" w:rsidRDefault="008C7322" w:rsidP="008C7322">
      <w:pPr>
        <w:pStyle w:val="NoSpacing"/>
        <w:rPr>
          <w:b/>
          <w:sz w:val="16"/>
        </w:rPr>
      </w:pPr>
      <w:r w:rsidRPr="008C7322">
        <w:rPr>
          <w:b/>
          <w:sz w:val="20"/>
        </w:rPr>
        <w:t xml:space="preserve">Figure </w:t>
      </w:r>
      <w:r w:rsidRPr="008C7322">
        <w:rPr>
          <w:b/>
          <w:sz w:val="20"/>
        </w:rPr>
        <w:fldChar w:fldCharType="begin"/>
      </w:r>
      <w:r w:rsidRPr="008C7322">
        <w:rPr>
          <w:b/>
          <w:sz w:val="20"/>
        </w:rPr>
        <w:instrText xml:space="preserve"> SEQ Figure \* ARABIC </w:instrText>
      </w:r>
      <w:r w:rsidRPr="008C7322">
        <w:rPr>
          <w:b/>
          <w:sz w:val="20"/>
        </w:rPr>
        <w:fldChar w:fldCharType="separate"/>
      </w:r>
      <w:r w:rsidR="00AC6EDE">
        <w:rPr>
          <w:b/>
          <w:noProof/>
          <w:sz w:val="20"/>
        </w:rPr>
        <w:t>11</w:t>
      </w:r>
      <w:r w:rsidRPr="008C7322">
        <w:rPr>
          <w:b/>
          <w:sz w:val="20"/>
        </w:rPr>
        <w:fldChar w:fldCharType="end"/>
      </w:r>
      <w:r w:rsidRPr="008C7322">
        <w:rPr>
          <w:b/>
          <w:sz w:val="20"/>
        </w:rPr>
        <w:t>: Steps to Determine Baseline Emissions</w:t>
      </w:r>
    </w:p>
    <w:p w:rsidR="008C7322" w:rsidRDefault="008C7322" w:rsidP="008C7322">
      <w:pPr>
        <w:jc w:val="both"/>
        <w:rPr>
          <w:sz w:val="20"/>
        </w:rPr>
      </w:pPr>
      <w:r w:rsidRPr="00C34A81">
        <w:rPr>
          <w:noProof/>
          <w:sz w:val="20"/>
          <w:lang w:eastAsia="en-GB"/>
        </w:rPr>
        <w:drawing>
          <wp:inline distT="0" distB="0" distL="0" distR="0" wp14:anchorId="4113088C" wp14:editId="123BC4DE">
            <wp:extent cx="5631180" cy="2747010"/>
            <wp:effectExtent l="38100" t="38100" r="64770" b="15240"/>
            <wp:docPr id="11" name="Diagram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rsidR="00603403" w:rsidRDefault="00603403" w:rsidP="008C7322">
      <w:pPr>
        <w:jc w:val="both"/>
        <w:rPr>
          <w:sz w:val="20"/>
        </w:rPr>
      </w:pPr>
    </w:p>
    <w:p w:rsidR="008C7322" w:rsidRPr="0013525E" w:rsidRDefault="00100058" w:rsidP="008C7322">
      <m:oMath>
        <m:sSub>
          <m:sSubPr>
            <m:ctrlPr>
              <w:rPr>
                <w:rFonts w:ascii="Cambria Math" w:hAnsi="Cambria Math"/>
                <w:i/>
              </w:rPr>
            </m:ctrlPr>
          </m:sSubPr>
          <m:e>
            <m:sSub>
              <m:sSubPr>
                <m:ctrlPr>
                  <w:rPr>
                    <w:rFonts w:ascii="Cambria Math" w:hAnsi="Cambria Math"/>
                    <w:i/>
                  </w:rPr>
                </m:ctrlPr>
              </m:sSubPr>
              <m:e>
                <m:r>
                  <w:rPr>
                    <w:rFonts w:ascii="Cambria Math" w:hAnsi="Cambria Math"/>
                  </w:rPr>
                  <m:t>BE</m:t>
                </m:r>
              </m:e>
              <m:sub>
                <m:r>
                  <w:rPr>
                    <w:rFonts w:ascii="Cambria Math" w:hAnsi="Cambria Math"/>
                  </w:rPr>
                  <m:t>y</m:t>
                </m:r>
              </m:sub>
            </m:sSub>
            <m:r>
              <w:rPr>
                <w:rFonts w:ascii="Cambria Math" w:hAnsi="Cambria Math"/>
              </w:rPr>
              <m:t>=</m:t>
            </m:r>
            <m:sSub>
              <m:sSubPr>
                <m:ctrlPr>
                  <w:rPr>
                    <w:rFonts w:ascii="Cambria Math" w:hAnsi="Cambria Math"/>
                    <w:i/>
                  </w:rPr>
                </m:ctrlPr>
              </m:sSubPr>
              <m:e>
                <m:r>
                  <w:rPr>
                    <w:rFonts w:ascii="Cambria Math" w:hAnsi="Cambria Math"/>
                  </w:rPr>
                  <m:t>(AL</m:t>
                </m:r>
              </m:e>
              <m:sub>
                <m:r>
                  <w:rPr>
                    <w:rFonts w:ascii="Cambria Math" w:hAnsi="Cambria Math"/>
                  </w:rPr>
                  <m:t>NAMA,y</m:t>
                </m:r>
              </m:sub>
            </m:sSub>
            <m:r>
              <w:rPr>
                <w:rFonts w:ascii="Cambria Math" w:hAnsi="Cambria Math"/>
              </w:rPr>
              <m:t>-</m:t>
            </m:r>
            <m:sSub>
              <m:sSubPr>
                <m:ctrlPr>
                  <w:rPr>
                    <w:rFonts w:ascii="Cambria Math" w:hAnsi="Cambria Math"/>
                    <w:i/>
                  </w:rPr>
                </m:ctrlPr>
              </m:sSubPr>
              <m:e>
                <m:r>
                  <w:rPr>
                    <w:rFonts w:ascii="Cambria Math" w:hAnsi="Cambria Math"/>
                  </w:rPr>
                  <m:t>AL</m:t>
                </m:r>
              </m:e>
              <m:sub>
                <m:r>
                  <w:rPr>
                    <w:rFonts w:ascii="Cambria Math" w:hAnsi="Cambria Math"/>
                  </w:rPr>
                  <m:t>BAU,y</m:t>
                </m:r>
              </m:sub>
            </m:sSub>
            <m:r>
              <w:rPr>
                <w:rFonts w:ascii="Cambria Math" w:hAnsi="Cambria Math"/>
              </w:rPr>
              <m:t>)×</m:t>
            </m:r>
            <m:d>
              <m:dPr>
                <m:begChr m:val="["/>
                <m:endChr m:val="]"/>
                <m:ctrlPr>
                  <w:rPr>
                    <w:rFonts w:ascii="Cambria Math" w:hAnsi="Cambria Math"/>
                    <w:i/>
                  </w:rPr>
                </m:ctrlPr>
              </m:dPr>
              <m:e>
                <m:nary>
                  <m:naryPr>
                    <m:chr m:val="∑"/>
                    <m:limLoc m:val="undOvr"/>
                    <m:supHide m:val="1"/>
                    <m:ctrlPr>
                      <w:rPr>
                        <w:rFonts w:ascii="Cambria Math" w:hAnsi="Cambria Math"/>
                        <w:i/>
                      </w:rPr>
                    </m:ctrlPr>
                  </m:naryPr>
                  <m:sub>
                    <m:r>
                      <w:rPr>
                        <w:rFonts w:ascii="Cambria Math" w:hAnsi="Cambria Math"/>
                      </w:rPr>
                      <m:t>i=1..n</m:t>
                    </m:r>
                  </m:sub>
                  <m:sup/>
                  <m:e>
                    <m:sSub>
                      <m:sSubPr>
                        <m:ctrlPr>
                          <w:rPr>
                            <w:rFonts w:ascii="Cambria Math" w:hAnsi="Cambria Math"/>
                            <w:i/>
                          </w:rPr>
                        </m:ctrlPr>
                      </m:sSubPr>
                      <m:e>
                        <m:r>
                          <w:rPr>
                            <w:rFonts w:ascii="Cambria Math" w:hAnsi="Cambria Math"/>
                          </w:rPr>
                          <m:t>MS</m:t>
                        </m:r>
                      </m:e>
                      <m:sub>
                        <m:r>
                          <w:rPr>
                            <w:rFonts w:ascii="Cambria Math" w:hAnsi="Cambria Math"/>
                          </w:rPr>
                          <m:t>i,y</m:t>
                        </m:r>
                      </m:sub>
                    </m:sSub>
                    <m:r>
                      <w:rPr>
                        <w:rFonts w:ascii="Cambria Math" w:hAnsi="Cambria Math"/>
                      </w:rPr>
                      <m:t>×</m:t>
                    </m:r>
                    <m:sSub>
                      <m:sSubPr>
                        <m:ctrlPr>
                          <w:rPr>
                            <w:rFonts w:ascii="Cambria Math" w:hAnsi="Cambria Math"/>
                            <w:i/>
                          </w:rPr>
                        </m:ctrlPr>
                      </m:sSubPr>
                      <m:e>
                        <m:r>
                          <w:rPr>
                            <w:rFonts w:ascii="Cambria Math" w:hAnsi="Cambria Math"/>
                          </w:rPr>
                          <m:t>EF</m:t>
                        </m:r>
                      </m:e>
                      <m:sub>
                        <m:r>
                          <w:rPr>
                            <w:rFonts w:ascii="Cambria Math" w:hAnsi="Cambria Math"/>
                          </w:rPr>
                          <m:t>i,y</m:t>
                        </m:r>
                      </m:sub>
                    </m:sSub>
                  </m:e>
                </m:nary>
              </m:e>
            </m:d>
            <m:r>
              <w:rPr>
                <w:rFonts w:ascii="Cambria Math" w:hAnsi="Cambria Math"/>
              </w:rPr>
              <m:t>+AL</m:t>
            </m:r>
          </m:e>
          <m:sub>
            <m:r>
              <w:rPr>
                <w:rFonts w:ascii="Cambria Math" w:hAnsi="Cambria Math"/>
              </w:rPr>
              <m:t>BAU,y</m:t>
            </m:r>
          </m:sub>
        </m:sSub>
        <m:r>
          <w:rPr>
            <w:rFonts w:ascii="Cambria Math" w:hAnsi="Cambria Math"/>
          </w:rPr>
          <m:t>×</m:t>
        </m:r>
        <m:sSub>
          <m:sSubPr>
            <m:ctrlPr>
              <w:rPr>
                <w:rFonts w:ascii="Cambria Math" w:hAnsi="Cambria Math"/>
                <w:i/>
              </w:rPr>
            </m:ctrlPr>
          </m:sSubPr>
          <m:e>
            <m:r>
              <w:rPr>
                <w:rFonts w:ascii="Cambria Math" w:hAnsi="Cambria Math"/>
              </w:rPr>
              <m:t>EF</m:t>
            </m:r>
          </m:e>
          <m:sub>
            <m:r>
              <w:rPr>
                <w:rFonts w:ascii="Cambria Math" w:hAnsi="Cambria Math"/>
              </w:rPr>
              <m:t>R,y</m:t>
            </m:r>
          </m:sub>
        </m:sSub>
      </m:oMath>
      <w:r w:rsidR="008C7322">
        <w:rPr>
          <w:rFonts w:eastAsiaTheme="minorEastAsia"/>
        </w:rPr>
        <w:t xml:space="preserve"> </w:t>
      </w:r>
      <w:r w:rsidR="00F714A3">
        <w:rPr>
          <w:rFonts w:eastAsiaTheme="minorEastAsia"/>
        </w:rPr>
        <w:t xml:space="preserve">             </w:t>
      </w:r>
      <w:r w:rsidR="00603403">
        <w:rPr>
          <w:rFonts w:eastAsiaTheme="minorEastAsia"/>
        </w:rPr>
        <w:t xml:space="preserve">             </w:t>
      </w:r>
      <w:r w:rsidR="00F714A3">
        <w:rPr>
          <w:rFonts w:eastAsiaTheme="minorEastAsia"/>
        </w:rPr>
        <w:t xml:space="preserve">            </w:t>
      </w:r>
      <w:r w:rsidR="008C7322">
        <w:rPr>
          <w:rFonts w:eastAsiaTheme="minorEastAsia"/>
        </w:rPr>
        <w:t>(1)</w:t>
      </w:r>
    </w:p>
    <w:p w:rsidR="008C7322" w:rsidRPr="00C34A81" w:rsidRDefault="008C7322" w:rsidP="008C7322">
      <w:pPr>
        <w:pStyle w:val="NoSpacing"/>
        <w:tabs>
          <w:tab w:val="left" w:pos="1134"/>
        </w:tabs>
        <w:rPr>
          <w:sz w:val="20"/>
          <w:szCs w:val="20"/>
        </w:rPr>
      </w:pPr>
      <w:r w:rsidRPr="00C34A81">
        <w:rPr>
          <w:sz w:val="20"/>
          <w:szCs w:val="20"/>
        </w:rPr>
        <w:t>Where:</w:t>
      </w:r>
    </w:p>
    <w:p w:rsidR="008C7322" w:rsidRPr="00C34A81" w:rsidRDefault="008C7322" w:rsidP="008C7322">
      <w:pPr>
        <w:pStyle w:val="NoSpacing"/>
        <w:tabs>
          <w:tab w:val="left" w:pos="1134"/>
        </w:tabs>
        <w:rPr>
          <w:sz w:val="20"/>
          <w:szCs w:val="20"/>
        </w:rPr>
      </w:pPr>
      <w:r w:rsidRPr="00C34A81">
        <w:rPr>
          <w:sz w:val="20"/>
          <w:szCs w:val="20"/>
        </w:rPr>
        <w:t>BE</w:t>
      </w:r>
      <w:r w:rsidRPr="00C34A81">
        <w:rPr>
          <w:sz w:val="20"/>
          <w:szCs w:val="20"/>
          <w:vertAlign w:val="subscript"/>
        </w:rPr>
        <w:t>y</w:t>
      </w:r>
      <w:r w:rsidRPr="00C34A81">
        <w:rPr>
          <w:sz w:val="20"/>
          <w:szCs w:val="20"/>
        </w:rPr>
        <w:tab/>
        <w:t>Baseline emissions of passenger</w:t>
      </w:r>
      <w:r w:rsidR="00F714A3">
        <w:rPr>
          <w:sz w:val="20"/>
          <w:szCs w:val="20"/>
        </w:rPr>
        <w:t xml:space="preserve"> and freight</w:t>
      </w:r>
      <w:r w:rsidRPr="00C34A81">
        <w:rPr>
          <w:sz w:val="20"/>
          <w:szCs w:val="20"/>
        </w:rPr>
        <w:t xml:space="preserve"> </w:t>
      </w:r>
      <w:r w:rsidR="00603403">
        <w:rPr>
          <w:sz w:val="20"/>
          <w:szCs w:val="20"/>
        </w:rPr>
        <w:t xml:space="preserve">rail </w:t>
      </w:r>
      <w:r w:rsidRPr="00C34A81">
        <w:rPr>
          <w:sz w:val="20"/>
          <w:szCs w:val="20"/>
        </w:rPr>
        <w:t>transport in the year y (tCO</w:t>
      </w:r>
      <w:r w:rsidRPr="00C34A81">
        <w:rPr>
          <w:sz w:val="20"/>
          <w:szCs w:val="20"/>
          <w:vertAlign w:val="subscript"/>
        </w:rPr>
        <w:t>2e</w:t>
      </w:r>
      <w:r w:rsidRPr="00C34A81">
        <w:rPr>
          <w:sz w:val="20"/>
          <w:szCs w:val="20"/>
        </w:rPr>
        <w:t>)</w:t>
      </w:r>
    </w:p>
    <w:p w:rsidR="008C7322" w:rsidRDefault="008C7322" w:rsidP="008C7322">
      <w:pPr>
        <w:pStyle w:val="NoSpacing"/>
        <w:tabs>
          <w:tab w:val="left" w:pos="1134"/>
        </w:tabs>
        <w:rPr>
          <w:sz w:val="20"/>
          <w:szCs w:val="20"/>
        </w:rPr>
      </w:pPr>
      <w:r w:rsidRPr="00C34A81">
        <w:rPr>
          <w:sz w:val="20"/>
          <w:szCs w:val="20"/>
        </w:rPr>
        <w:t>AL</w:t>
      </w:r>
      <w:r>
        <w:rPr>
          <w:sz w:val="20"/>
          <w:szCs w:val="20"/>
          <w:vertAlign w:val="subscript"/>
        </w:rPr>
        <w:t>NAMA</w:t>
      </w:r>
      <w:r w:rsidRPr="00C34A81">
        <w:rPr>
          <w:sz w:val="20"/>
          <w:szCs w:val="20"/>
          <w:vertAlign w:val="subscript"/>
        </w:rPr>
        <w:t>,y</w:t>
      </w:r>
      <w:r w:rsidRPr="00C34A81">
        <w:rPr>
          <w:sz w:val="20"/>
          <w:szCs w:val="20"/>
        </w:rPr>
        <w:tab/>
      </w:r>
      <w:r w:rsidR="00603403">
        <w:rPr>
          <w:sz w:val="20"/>
          <w:szCs w:val="20"/>
        </w:rPr>
        <w:t xml:space="preserve">Rail </w:t>
      </w:r>
      <w:r>
        <w:rPr>
          <w:sz w:val="20"/>
          <w:szCs w:val="20"/>
        </w:rPr>
        <w:t>a</w:t>
      </w:r>
      <w:r w:rsidRPr="00C34A81">
        <w:rPr>
          <w:sz w:val="20"/>
          <w:szCs w:val="20"/>
        </w:rPr>
        <w:t xml:space="preserve">ctivity level </w:t>
      </w:r>
      <w:r w:rsidR="00603403">
        <w:rPr>
          <w:sz w:val="20"/>
          <w:szCs w:val="20"/>
        </w:rPr>
        <w:t xml:space="preserve">with the planned actions </w:t>
      </w:r>
      <w:r>
        <w:rPr>
          <w:sz w:val="20"/>
          <w:szCs w:val="20"/>
        </w:rPr>
        <w:t>in the year y (million pkm</w:t>
      </w:r>
      <w:r w:rsidR="00603403">
        <w:rPr>
          <w:sz w:val="20"/>
          <w:szCs w:val="20"/>
        </w:rPr>
        <w:t>/tkm</w:t>
      </w:r>
      <w:r w:rsidRPr="00C34A81">
        <w:rPr>
          <w:sz w:val="20"/>
          <w:szCs w:val="20"/>
        </w:rPr>
        <w:t>)</w:t>
      </w:r>
    </w:p>
    <w:p w:rsidR="008C7322" w:rsidRPr="00C34A81" w:rsidRDefault="008C7322" w:rsidP="008C7322">
      <w:pPr>
        <w:pStyle w:val="NoSpacing"/>
        <w:tabs>
          <w:tab w:val="left" w:pos="1134"/>
        </w:tabs>
        <w:rPr>
          <w:sz w:val="20"/>
          <w:szCs w:val="20"/>
        </w:rPr>
      </w:pPr>
      <w:r w:rsidRPr="00C34A81">
        <w:rPr>
          <w:sz w:val="20"/>
          <w:szCs w:val="20"/>
        </w:rPr>
        <w:t>AL</w:t>
      </w:r>
      <w:r>
        <w:rPr>
          <w:sz w:val="20"/>
          <w:szCs w:val="20"/>
          <w:vertAlign w:val="subscript"/>
        </w:rPr>
        <w:t>BAU</w:t>
      </w:r>
      <w:r w:rsidRPr="00C34A81">
        <w:rPr>
          <w:sz w:val="20"/>
          <w:szCs w:val="20"/>
          <w:vertAlign w:val="subscript"/>
        </w:rPr>
        <w:t>,y</w:t>
      </w:r>
      <w:r w:rsidRPr="00C34A81">
        <w:rPr>
          <w:sz w:val="20"/>
          <w:szCs w:val="20"/>
        </w:rPr>
        <w:tab/>
      </w:r>
      <w:r w:rsidR="00603403">
        <w:rPr>
          <w:sz w:val="20"/>
          <w:szCs w:val="20"/>
        </w:rPr>
        <w:t xml:space="preserve">Rail </w:t>
      </w:r>
      <w:r>
        <w:rPr>
          <w:sz w:val="20"/>
          <w:szCs w:val="20"/>
        </w:rPr>
        <w:t>BAU a</w:t>
      </w:r>
      <w:r w:rsidRPr="00C34A81">
        <w:rPr>
          <w:sz w:val="20"/>
          <w:szCs w:val="20"/>
        </w:rPr>
        <w:t xml:space="preserve">ctivity level </w:t>
      </w:r>
      <w:r>
        <w:rPr>
          <w:sz w:val="20"/>
          <w:szCs w:val="20"/>
        </w:rPr>
        <w:t>in the year y (million pkm</w:t>
      </w:r>
      <w:r w:rsidR="00603403">
        <w:rPr>
          <w:sz w:val="20"/>
          <w:szCs w:val="20"/>
        </w:rPr>
        <w:t>/tkm</w:t>
      </w:r>
      <w:r w:rsidRPr="00C34A81">
        <w:rPr>
          <w:sz w:val="20"/>
          <w:szCs w:val="20"/>
        </w:rPr>
        <w:t>)</w:t>
      </w:r>
    </w:p>
    <w:p w:rsidR="008C7322" w:rsidRPr="00C34A81" w:rsidRDefault="008C7322" w:rsidP="008C7322">
      <w:pPr>
        <w:pStyle w:val="NoSpacing"/>
        <w:tabs>
          <w:tab w:val="left" w:pos="1134"/>
        </w:tabs>
        <w:ind w:left="1134" w:hanging="1134"/>
        <w:rPr>
          <w:sz w:val="20"/>
          <w:szCs w:val="20"/>
        </w:rPr>
      </w:pPr>
      <w:r w:rsidRPr="00C34A81">
        <w:rPr>
          <w:sz w:val="20"/>
          <w:szCs w:val="20"/>
        </w:rPr>
        <w:t>MS</w:t>
      </w:r>
      <w:r w:rsidRPr="00C34A81">
        <w:rPr>
          <w:sz w:val="20"/>
          <w:szCs w:val="20"/>
          <w:vertAlign w:val="subscript"/>
        </w:rPr>
        <w:t>i,y</w:t>
      </w:r>
      <w:r w:rsidRPr="00C34A81">
        <w:rPr>
          <w:sz w:val="20"/>
          <w:szCs w:val="20"/>
        </w:rPr>
        <w:tab/>
        <w:t>Distance weighted mode share of mode i in absence of rail in the year y</w:t>
      </w:r>
      <w:r>
        <w:rPr>
          <w:sz w:val="20"/>
          <w:szCs w:val="20"/>
        </w:rPr>
        <w:t xml:space="preserve"> </w:t>
      </w:r>
      <w:r w:rsidRPr="00C34A81">
        <w:rPr>
          <w:sz w:val="20"/>
          <w:szCs w:val="20"/>
        </w:rPr>
        <w:t xml:space="preserve">(%) </w:t>
      </w:r>
    </w:p>
    <w:p w:rsidR="00603403" w:rsidRPr="002E3982" w:rsidRDefault="008C7322" w:rsidP="008C7322">
      <w:pPr>
        <w:pStyle w:val="NoSpacing"/>
        <w:tabs>
          <w:tab w:val="left" w:pos="1134"/>
        </w:tabs>
        <w:rPr>
          <w:sz w:val="20"/>
          <w:szCs w:val="20"/>
        </w:rPr>
      </w:pPr>
      <w:r w:rsidRPr="00C34A81">
        <w:rPr>
          <w:sz w:val="20"/>
          <w:szCs w:val="20"/>
        </w:rPr>
        <w:t>EF</w:t>
      </w:r>
      <w:r w:rsidRPr="00C34A81">
        <w:rPr>
          <w:sz w:val="20"/>
          <w:szCs w:val="20"/>
          <w:vertAlign w:val="subscript"/>
        </w:rPr>
        <w:t>i,y</w:t>
      </w:r>
      <w:r w:rsidRPr="00C34A81">
        <w:rPr>
          <w:sz w:val="20"/>
          <w:szCs w:val="20"/>
        </w:rPr>
        <w:tab/>
        <w:t>Emission factor of mode i in the year y (gCO</w:t>
      </w:r>
      <w:r w:rsidRPr="00C34A81">
        <w:rPr>
          <w:sz w:val="20"/>
          <w:szCs w:val="20"/>
          <w:vertAlign w:val="subscript"/>
        </w:rPr>
        <w:t>2</w:t>
      </w:r>
      <w:r w:rsidR="00603403">
        <w:rPr>
          <w:sz w:val="20"/>
          <w:szCs w:val="20"/>
          <w:vertAlign w:val="subscript"/>
        </w:rPr>
        <w:t>e</w:t>
      </w:r>
      <w:r>
        <w:rPr>
          <w:sz w:val="20"/>
          <w:szCs w:val="20"/>
        </w:rPr>
        <w:t>/pkm</w:t>
      </w:r>
      <w:r w:rsidR="00603403">
        <w:rPr>
          <w:sz w:val="20"/>
          <w:szCs w:val="20"/>
        </w:rPr>
        <w:t>/tkm</w:t>
      </w:r>
      <w:r>
        <w:rPr>
          <w:sz w:val="20"/>
          <w:szCs w:val="20"/>
        </w:rPr>
        <w:t>)</w:t>
      </w:r>
    </w:p>
    <w:p w:rsidR="008C7322" w:rsidRPr="008729A3" w:rsidRDefault="008C7322" w:rsidP="008C7322">
      <w:pPr>
        <w:pStyle w:val="NoSpacing"/>
      </w:pPr>
    </w:p>
    <w:p w:rsidR="008C7322" w:rsidRPr="002C0E6B" w:rsidRDefault="00100058" w:rsidP="008C7322">
      <m:oMath>
        <m:sSub>
          <m:sSubPr>
            <m:ctrlPr>
              <w:rPr>
                <w:rFonts w:ascii="Cambria Math" w:hAnsi="Cambria Math"/>
                <w:i/>
              </w:rPr>
            </m:ctrlPr>
          </m:sSubPr>
          <m:e>
            <m:r>
              <w:rPr>
                <w:rFonts w:ascii="Cambria Math" w:hAnsi="Cambria Math"/>
              </w:rPr>
              <m:t>EF</m:t>
            </m:r>
          </m:e>
          <m:sub>
            <m:r>
              <w:rPr>
                <w:rFonts w:ascii="Cambria Math" w:hAnsi="Cambria Math"/>
              </w:rPr>
              <m:t>i,y</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SFC</m:t>
                </m:r>
              </m:e>
              <m:sub>
                <m:r>
                  <w:rPr>
                    <w:rFonts w:ascii="Cambria Math" w:hAnsi="Cambria Math"/>
                  </w:rPr>
                  <m:t>i,y</m:t>
                </m:r>
              </m:sub>
            </m:sSub>
            <m:r>
              <w:rPr>
                <w:rFonts w:ascii="Cambria Math" w:hAnsi="Cambria Math"/>
              </w:rPr>
              <m:t>×NCV×</m:t>
            </m:r>
            <m:sSub>
              <m:sSubPr>
                <m:ctrlPr>
                  <w:rPr>
                    <w:rFonts w:ascii="Cambria Math" w:hAnsi="Cambria Math"/>
                    <w:i/>
                  </w:rPr>
                </m:ctrlPr>
              </m:sSubPr>
              <m:e>
                <m:r>
                  <w:rPr>
                    <w:rFonts w:ascii="Cambria Math" w:hAnsi="Cambria Math"/>
                  </w:rPr>
                  <m:t>EF</m:t>
                </m:r>
              </m:e>
              <m:sub>
                <m:r>
                  <w:rPr>
                    <w:rFonts w:ascii="Cambria Math" w:hAnsi="Cambria Math"/>
                  </w:rPr>
                  <m:t>CO2</m:t>
                </m:r>
              </m:sub>
            </m:sSub>
          </m:num>
          <m:den>
            <m:sSub>
              <m:sSubPr>
                <m:ctrlPr>
                  <w:rPr>
                    <w:rFonts w:ascii="Cambria Math" w:hAnsi="Cambria Math"/>
                    <w:i/>
                  </w:rPr>
                </m:ctrlPr>
              </m:sSubPr>
              <m:e>
                <m:r>
                  <w:rPr>
                    <w:rFonts w:ascii="Cambria Math" w:hAnsi="Cambria Math"/>
                  </w:rPr>
                  <m:t>OC</m:t>
                </m:r>
              </m:e>
              <m:sub>
                <m:r>
                  <w:rPr>
                    <w:rFonts w:ascii="Cambria Math" w:hAnsi="Cambria Math"/>
                  </w:rPr>
                  <m:t>i,y</m:t>
                </m:r>
              </m:sub>
            </m:sSub>
          </m:den>
        </m:f>
      </m:oMath>
      <w:r w:rsidR="008C7322" w:rsidRPr="002C0E6B">
        <w:rPr>
          <w:rFonts w:eastAsiaTheme="minorEastAsia"/>
        </w:rPr>
        <w:t xml:space="preserve">                                                                                                                                  (2)</w:t>
      </w:r>
    </w:p>
    <w:p w:rsidR="008C7322" w:rsidRPr="00C40EE4" w:rsidRDefault="008C7322" w:rsidP="008C7322">
      <w:pPr>
        <w:pStyle w:val="NoSpacing"/>
        <w:tabs>
          <w:tab w:val="left" w:pos="1134"/>
        </w:tabs>
        <w:rPr>
          <w:sz w:val="20"/>
        </w:rPr>
      </w:pPr>
      <w:r w:rsidRPr="00C40EE4">
        <w:rPr>
          <w:sz w:val="20"/>
        </w:rPr>
        <w:t>Where:</w:t>
      </w:r>
    </w:p>
    <w:p w:rsidR="008C7322" w:rsidRPr="00C40EE4" w:rsidRDefault="008C7322" w:rsidP="008C7322">
      <w:pPr>
        <w:pStyle w:val="NoSpacing"/>
        <w:tabs>
          <w:tab w:val="left" w:pos="1134"/>
        </w:tabs>
        <w:rPr>
          <w:sz w:val="20"/>
        </w:rPr>
      </w:pPr>
      <w:r w:rsidRPr="00C40EE4">
        <w:rPr>
          <w:sz w:val="20"/>
        </w:rPr>
        <w:t>EF</w:t>
      </w:r>
      <w:r w:rsidRPr="00C40EE4">
        <w:rPr>
          <w:sz w:val="20"/>
          <w:vertAlign w:val="subscript"/>
        </w:rPr>
        <w:t>i,y</w:t>
      </w:r>
      <w:r w:rsidRPr="00C40EE4">
        <w:rPr>
          <w:sz w:val="20"/>
        </w:rPr>
        <w:tab/>
        <w:t>Emission factor of mode i in the year y (gCO</w:t>
      </w:r>
      <w:r w:rsidRPr="00C40EE4">
        <w:rPr>
          <w:sz w:val="20"/>
          <w:vertAlign w:val="subscript"/>
        </w:rPr>
        <w:t>2</w:t>
      </w:r>
      <w:r w:rsidR="00E62DDE">
        <w:rPr>
          <w:sz w:val="20"/>
        </w:rPr>
        <w:t xml:space="preserve"> per </w:t>
      </w:r>
      <w:r>
        <w:rPr>
          <w:sz w:val="20"/>
        </w:rPr>
        <w:t>pkm</w:t>
      </w:r>
      <w:r w:rsidR="00E62DDE">
        <w:rPr>
          <w:sz w:val="20"/>
        </w:rPr>
        <w:t xml:space="preserve"> or per </w:t>
      </w:r>
      <w:r w:rsidR="00603403">
        <w:rPr>
          <w:sz w:val="20"/>
        </w:rPr>
        <w:t>tkm</w:t>
      </w:r>
      <w:r w:rsidRPr="00C40EE4">
        <w:rPr>
          <w:sz w:val="20"/>
        </w:rPr>
        <w:t>)</w:t>
      </w:r>
    </w:p>
    <w:p w:rsidR="008C7322" w:rsidRPr="00C40EE4" w:rsidRDefault="008C7322" w:rsidP="008C7322">
      <w:pPr>
        <w:pStyle w:val="NoSpacing"/>
        <w:tabs>
          <w:tab w:val="left" w:pos="1134"/>
        </w:tabs>
        <w:rPr>
          <w:sz w:val="20"/>
        </w:rPr>
      </w:pPr>
      <w:r w:rsidRPr="00C40EE4">
        <w:rPr>
          <w:sz w:val="20"/>
        </w:rPr>
        <w:t>SFC</w:t>
      </w:r>
      <w:r w:rsidRPr="00C40EE4">
        <w:rPr>
          <w:sz w:val="20"/>
          <w:vertAlign w:val="subscript"/>
        </w:rPr>
        <w:t>i,y</w:t>
      </w:r>
      <w:r w:rsidRPr="00C40EE4">
        <w:rPr>
          <w:sz w:val="20"/>
        </w:rPr>
        <w:tab/>
        <w:t>Specific fuel consumption of mode i in the year y (g/km)</w:t>
      </w:r>
    </w:p>
    <w:p w:rsidR="008C7322" w:rsidRPr="00C40EE4" w:rsidRDefault="008C7322" w:rsidP="008C7322">
      <w:pPr>
        <w:pStyle w:val="NoSpacing"/>
        <w:tabs>
          <w:tab w:val="left" w:pos="1134"/>
        </w:tabs>
        <w:rPr>
          <w:sz w:val="20"/>
        </w:rPr>
      </w:pPr>
      <w:r w:rsidRPr="00C40EE4">
        <w:rPr>
          <w:sz w:val="20"/>
        </w:rPr>
        <w:t>NCV</w:t>
      </w:r>
      <w:r w:rsidRPr="00C40EE4">
        <w:rPr>
          <w:sz w:val="20"/>
        </w:rPr>
        <w:tab/>
        <w:t>Net Calorific Value of fuel x (MJ/g)</w:t>
      </w:r>
    </w:p>
    <w:p w:rsidR="008C7322" w:rsidRPr="00C40EE4" w:rsidRDefault="008C7322" w:rsidP="008C7322">
      <w:pPr>
        <w:pStyle w:val="NoSpacing"/>
        <w:tabs>
          <w:tab w:val="left" w:pos="1134"/>
        </w:tabs>
        <w:rPr>
          <w:sz w:val="20"/>
        </w:rPr>
      </w:pPr>
      <w:r w:rsidRPr="00C40EE4">
        <w:rPr>
          <w:sz w:val="20"/>
        </w:rPr>
        <w:t>EF</w:t>
      </w:r>
      <w:r w:rsidRPr="00C40EE4">
        <w:rPr>
          <w:sz w:val="20"/>
          <w:vertAlign w:val="subscript"/>
        </w:rPr>
        <w:t>CO2</w:t>
      </w:r>
      <w:r w:rsidRPr="00C40EE4">
        <w:rPr>
          <w:sz w:val="20"/>
        </w:rPr>
        <w:tab/>
        <w:t>CO</w:t>
      </w:r>
      <w:r w:rsidRPr="00C40EE4">
        <w:rPr>
          <w:sz w:val="20"/>
          <w:vertAlign w:val="subscript"/>
        </w:rPr>
        <w:t>2</w:t>
      </w:r>
      <w:r w:rsidRPr="00C40EE4">
        <w:rPr>
          <w:sz w:val="20"/>
        </w:rPr>
        <w:t xml:space="preserve"> Emission factor of fuel x (gCO</w:t>
      </w:r>
      <w:r w:rsidRPr="00C40EE4">
        <w:rPr>
          <w:sz w:val="20"/>
          <w:vertAlign w:val="subscript"/>
        </w:rPr>
        <w:t>2</w:t>
      </w:r>
      <w:r w:rsidRPr="00C40EE4">
        <w:rPr>
          <w:sz w:val="20"/>
        </w:rPr>
        <w:t>/MJ)</w:t>
      </w:r>
    </w:p>
    <w:p w:rsidR="008C7322" w:rsidRPr="00C40EE4" w:rsidRDefault="008C7322" w:rsidP="008C7322">
      <w:pPr>
        <w:pStyle w:val="NoSpacing"/>
        <w:tabs>
          <w:tab w:val="left" w:pos="1134"/>
        </w:tabs>
        <w:rPr>
          <w:sz w:val="20"/>
        </w:rPr>
      </w:pPr>
      <w:r w:rsidRPr="00C40EE4">
        <w:rPr>
          <w:sz w:val="20"/>
        </w:rPr>
        <w:t>OC</w:t>
      </w:r>
      <w:r w:rsidRPr="00C40EE4">
        <w:rPr>
          <w:sz w:val="20"/>
          <w:vertAlign w:val="subscript"/>
        </w:rPr>
        <w:t>i,y</w:t>
      </w:r>
      <w:r w:rsidRPr="00C40EE4">
        <w:rPr>
          <w:sz w:val="20"/>
        </w:rPr>
        <w:tab/>
        <w:t xml:space="preserve">Occupation rate </w:t>
      </w:r>
      <w:r w:rsidR="00603403">
        <w:rPr>
          <w:sz w:val="20"/>
        </w:rPr>
        <w:t xml:space="preserve">/ Load factor </w:t>
      </w:r>
      <w:r w:rsidRPr="00C40EE4">
        <w:rPr>
          <w:sz w:val="20"/>
        </w:rPr>
        <w:t>of mode i (passengers</w:t>
      </w:r>
      <w:r w:rsidR="00E62DDE">
        <w:rPr>
          <w:sz w:val="20"/>
        </w:rPr>
        <w:t xml:space="preserve"> or </w:t>
      </w:r>
      <w:r w:rsidR="00603403">
        <w:rPr>
          <w:sz w:val="20"/>
        </w:rPr>
        <w:t>net tons</w:t>
      </w:r>
      <w:r w:rsidRPr="00C40EE4">
        <w:rPr>
          <w:sz w:val="20"/>
        </w:rPr>
        <w:t>)</w:t>
      </w:r>
    </w:p>
    <w:p w:rsidR="008C7322" w:rsidRDefault="008C7322" w:rsidP="008C7322">
      <w:pPr>
        <w:pStyle w:val="NoSpacing"/>
      </w:pPr>
    </w:p>
    <w:p w:rsidR="00603403" w:rsidRPr="00603403" w:rsidRDefault="00603403" w:rsidP="008C7322">
      <w:pPr>
        <w:jc w:val="both"/>
        <w:rPr>
          <w:b/>
        </w:rPr>
      </w:pPr>
      <w:r w:rsidRPr="00603403">
        <w:rPr>
          <w:b/>
        </w:rPr>
        <w:t>Rail Activity Level</w:t>
      </w:r>
    </w:p>
    <w:p w:rsidR="00603403" w:rsidRDefault="00603403" w:rsidP="008C7322">
      <w:pPr>
        <w:jc w:val="both"/>
      </w:pPr>
      <w:r>
        <w:t>The BAU rail activity level is based on the level of passenger and freight movement as registered</w:t>
      </w:r>
      <w:r w:rsidR="00E62DDE">
        <w:t xml:space="preserve"> by BR since 2010</w:t>
      </w:r>
      <w:r>
        <w:t xml:space="preserve">. Freight movement has been more or less constant in the last 4 decades whilst passenger activity has shown ups and downs with a significant increase </w:t>
      </w:r>
      <w:r w:rsidR="00E929B0">
        <w:t xml:space="preserve">between 2000 and 2010 </w:t>
      </w:r>
      <w:r>
        <w:t>and a stabilization thereafter.</w:t>
      </w:r>
      <w:r w:rsidR="00E929B0">
        <w:t xml:space="preserve"> It is clear from historic data that under BAU rail activity is not correlated to GDP growth which in the same observation period increased by the factor 6.</w:t>
      </w:r>
    </w:p>
    <w:p w:rsidR="00E929B0" w:rsidRDefault="00E929B0" w:rsidP="008C7322">
      <w:pPr>
        <w:jc w:val="both"/>
      </w:pPr>
      <w:r>
        <w:t xml:space="preserve">The rail activity level with NAMA activities is based on projections of the BR Master Plan which projects freight and passenger movement based on elasticities related to GDP growth (see chapter 4). </w:t>
      </w:r>
    </w:p>
    <w:p w:rsidR="008C7322" w:rsidRDefault="00E929B0" w:rsidP="00E929B0">
      <w:pPr>
        <w:jc w:val="both"/>
      </w:pPr>
      <w:r>
        <w:t xml:space="preserve">Chapter 5 shows the difference of freight and passenger rail movement under BAU and with planned activities. </w:t>
      </w:r>
    </w:p>
    <w:p w:rsidR="00E929B0" w:rsidRPr="00E929B0" w:rsidRDefault="00E929B0" w:rsidP="00E929B0">
      <w:pPr>
        <w:jc w:val="both"/>
        <w:rPr>
          <w:b/>
        </w:rPr>
      </w:pPr>
      <w:r w:rsidRPr="00E929B0">
        <w:rPr>
          <w:b/>
        </w:rPr>
        <w:t>Baseline Mode Share</w:t>
      </w:r>
    </w:p>
    <w:p w:rsidR="00424C1D" w:rsidRDefault="00E929B0" w:rsidP="00E929B0">
      <w:pPr>
        <w:jc w:val="both"/>
      </w:pPr>
      <w:r>
        <w:t xml:space="preserve">The approach used to determine the </w:t>
      </w:r>
      <w:r w:rsidRPr="00E929B0">
        <w:t>baseline mode share</w:t>
      </w:r>
      <w:r>
        <w:t xml:space="preserve"> differentiates freight and passenger movement. For freight this is straightforward and can be based on historical or observed mode shares in absence of rail. In the case of Bangladesh for freight transport the baseline mode in absence of rail is road </w:t>
      </w:r>
      <w:r w:rsidR="00424C1D">
        <w:t>with a mode share of more than 80%</w:t>
      </w:r>
      <w:r w:rsidR="00424C1D">
        <w:rPr>
          <w:rStyle w:val="FootnoteReference"/>
        </w:rPr>
        <w:footnoteReference w:id="30"/>
      </w:r>
      <w:r>
        <w:t xml:space="preserve">. For passenger movement </w:t>
      </w:r>
      <w:r w:rsidR="00424C1D">
        <w:t xml:space="preserve">a </w:t>
      </w:r>
      <w:r w:rsidR="00424C1D">
        <w:rPr>
          <w:lang w:val="en-US"/>
        </w:rPr>
        <w:t>survey of rail users was</w:t>
      </w:r>
      <w:r w:rsidRPr="00702517">
        <w:rPr>
          <w:lang w:val="en-US"/>
        </w:rPr>
        <w:t xml:space="preserve"> conducted</w:t>
      </w:r>
      <w:r w:rsidR="00E62DDE">
        <w:rPr>
          <w:lang w:val="en-US"/>
        </w:rPr>
        <w:t xml:space="preserve"> early 2016 by Grü</w:t>
      </w:r>
      <w:r w:rsidR="00424C1D">
        <w:rPr>
          <w:lang w:val="en-US"/>
        </w:rPr>
        <w:t>tter Consulting</w:t>
      </w:r>
      <w:r w:rsidRPr="00702517">
        <w:rPr>
          <w:lang w:val="en-US"/>
        </w:rPr>
        <w:t>, in which pas</w:t>
      </w:r>
      <w:r w:rsidR="00E62DDE">
        <w:rPr>
          <w:lang w:val="en-US"/>
        </w:rPr>
        <w:t>sengers were</w:t>
      </w:r>
      <w:r>
        <w:rPr>
          <w:lang w:val="en-US"/>
        </w:rPr>
        <w:t xml:space="preserve"> asked what mode they would have used in absence of rail.</w:t>
      </w:r>
      <w:r w:rsidRPr="00702517">
        <w:rPr>
          <w:lang w:val="en-US"/>
        </w:rPr>
        <w:t xml:space="preserve"> This approach is also </w:t>
      </w:r>
      <w:r w:rsidR="00E62DDE">
        <w:rPr>
          <w:lang w:val="en-US"/>
        </w:rPr>
        <w:t xml:space="preserve">taken by </w:t>
      </w:r>
      <w:r>
        <w:t>the approved CDM methodologies for mode shift in transport being AM0031, ACM0016 and AM0101</w:t>
      </w:r>
      <w:r>
        <w:rPr>
          <w:rStyle w:val="FootnoteReference"/>
        </w:rPr>
        <w:footnoteReference w:id="31"/>
      </w:r>
      <w:r>
        <w:t xml:space="preserve">. </w:t>
      </w:r>
      <w:r w:rsidR="00E62DDE">
        <w:t xml:space="preserve">It </w:t>
      </w:r>
      <w:r>
        <w:t xml:space="preserve">allows the user of rail to identify potential alternative transport modes under a hypothetic scenario i.e. a survey of rail users is conducted which asks passengers what mode of transport (if any) they would have used to perform this trip in absence of rail. </w:t>
      </w:r>
      <w:r w:rsidR="00424C1D">
        <w:t xml:space="preserve">100% of rail users </w:t>
      </w:r>
      <w:r w:rsidR="00C14C7F">
        <w:t xml:space="preserve">in Bangladesh </w:t>
      </w:r>
      <w:r w:rsidR="00424C1D">
        <w:t>thereby responded with</w:t>
      </w:r>
      <w:r w:rsidR="00C14C7F">
        <w:t xml:space="preserve"> the mode</w:t>
      </w:r>
      <w:r w:rsidR="00424C1D">
        <w:t xml:space="preserve"> bus. This is therefore taken as the baseline mode of transport. However</w:t>
      </w:r>
      <w:r w:rsidR="007213E7">
        <w:t>,</w:t>
      </w:r>
      <w:r w:rsidR="00424C1D">
        <w:t xml:space="preserve"> the survey must be repeated in regular intervals as results might change over time with increased income levels and access to private vehicles. Also depending on distances, speed and comfort levels of trains</w:t>
      </w:r>
      <w:r w:rsidR="00C14C7F">
        <w:t>,</w:t>
      </w:r>
      <w:r w:rsidR="00424C1D">
        <w:t xml:space="preserve"> passenger might also </w:t>
      </w:r>
      <w:r w:rsidR="00C14C7F">
        <w:t xml:space="preserve">use in </w:t>
      </w:r>
      <w:r w:rsidR="00C14C7F">
        <w:lastRenderedPageBreak/>
        <w:t>the future</w:t>
      </w:r>
      <w:r w:rsidR="00424C1D">
        <w:t xml:space="preserve"> planes in absence of rail. A similar survey realized among India Railway users showed e.g. that </w:t>
      </w:r>
      <w:r w:rsidR="007213E7">
        <w:t>9% of train passen</w:t>
      </w:r>
      <w:r w:rsidR="00424C1D">
        <w:t>g</w:t>
      </w:r>
      <w:r w:rsidR="007213E7">
        <w:t>e</w:t>
      </w:r>
      <w:r w:rsidR="00424C1D">
        <w:t>rs would have used a private car and 3% planes in absence of rail</w:t>
      </w:r>
      <w:r w:rsidR="00424C1D">
        <w:rPr>
          <w:rStyle w:val="FootnoteReference"/>
        </w:rPr>
        <w:footnoteReference w:id="32"/>
      </w:r>
      <w:r w:rsidR="00424C1D">
        <w:t xml:space="preserve">.  </w:t>
      </w:r>
    </w:p>
    <w:p w:rsidR="007213E7" w:rsidRPr="007213E7" w:rsidRDefault="007213E7" w:rsidP="007213E7">
      <w:pPr>
        <w:jc w:val="both"/>
        <w:rPr>
          <w:b/>
        </w:rPr>
      </w:pPr>
      <w:r w:rsidRPr="007213E7">
        <w:rPr>
          <w:b/>
        </w:rPr>
        <w:t xml:space="preserve">Emission Factor </w:t>
      </w:r>
    </w:p>
    <w:p w:rsidR="00E929B0" w:rsidRDefault="007213E7" w:rsidP="00E929B0">
      <w:pPr>
        <w:jc w:val="both"/>
      </w:pPr>
      <w:r>
        <w:t xml:space="preserve">The </w:t>
      </w:r>
      <w:r w:rsidRPr="007213E7">
        <w:t>emission factor per mode (i.e. emissions per pkm</w:t>
      </w:r>
      <w:r w:rsidR="00C14C7F">
        <w:t xml:space="preserve"> or </w:t>
      </w:r>
      <w:r>
        <w:t>tkm</w:t>
      </w:r>
      <w:r w:rsidRPr="007213E7">
        <w:t xml:space="preserve"> of buses, trucks</w:t>
      </w:r>
      <w:r>
        <w:t>, rail</w:t>
      </w:r>
      <w:r w:rsidRPr="007213E7">
        <w:t xml:space="preserve">) </w:t>
      </w:r>
      <w:r>
        <w:t xml:space="preserve">is calculated based on the approach used in </w:t>
      </w:r>
      <w:r w:rsidRPr="007213E7">
        <w:t xml:space="preserve">approved CDM </w:t>
      </w:r>
      <w:r w:rsidR="00C14C7F">
        <w:t xml:space="preserve">transport </w:t>
      </w:r>
      <w:r w:rsidRPr="007213E7">
        <w:t>methodologies such as ACM0016</w:t>
      </w:r>
      <w:r>
        <w:t xml:space="preserve"> and </w:t>
      </w:r>
      <w:r w:rsidR="00C14C7F">
        <w:t xml:space="preserve">by </w:t>
      </w:r>
      <w:r>
        <w:t>IPC</w:t>
      </w:r>
      <w:r w:rsidR="00C14C7F">
        <w:t>C using the fuel consumption, the NCV,</w:t>
      </w:r>
      <w:r>
        <w:t xml:space="preserve"> </w:t>
      </w:r>
      <w:r w:rsidR="00C14C7F">
        <w:t xml:space="preserve">the </w:t>
      </w:r>
      <w:r>
        <w:t>CO</w:t>
      </w:r>
      <w:r w:rsidRPr="007213E7">
        <w:rPr>
          <w:vertAlign w:val="subscript"/>
        </w:rPr>
        <w:t>2</w:t>
      </w:r>
      <w:r>
        <w:t>-EF of fuels and the average load factor</w:t>
      </w:r>
      <w:r>
        <w:rPr>
          <w:rStyle w:val="FootnoteReference"/>
        </w:rPr>
        <w:footnoteReference w:id="33"/>
      </w:r>
      <w:r w:rsidRPr="007213E7">
        <w:t xml:space="preserve">. </w:t>
      </w:r>
      <w:r>
        <w:t xml:space="preserve">For BC the emissions are determined per kilometre using PM2.5 emission levels per vehicle category in accordance with the emission </w:t>
      </w:r>
      <w:r w:rsidR="00C14C7F">
        <w:t>standards</w:t>
      </w:r>
      <w:r>
        <w:t xml:space="preserve"> of Bangladesh, the BC fraction of PM</w:t>
      </w:r>
      <w:r w:rsidR="00C14C7F">
        <w:t>2.5</w:t>
      </w:r>
      <w:r>
        <w:t xml:space="preserve"> and the Global Warming Potential (GWP) of BC. </w:t>
      </w:r>
    </w:p>
    <w:p w:rsidR="00867C37" w:rsidRDefault="00867C37" w:rsidP="00867C37">
      <w:pPr>
        <w:pStyle w:val="Heading2"/>
        <w:numPr>
          <w:ilvl w:val="1"/>
          <w:numId w:val="1"/>
        </w:numPr>
      </w:pPr>
      <w:bookmarkStart w:id="17" w:name="_Toc466207343"/>
      <w:r>
        <w:t>Parameters and Values Used</w:t>
      </w:r>
      <w:bookmarkEnd w:id="17"/>
    </w:p>
    <w:p w:rsidR="00867C37" w:rsidRDefault="00867C37" w:rsidP="00867C37"/>
    <w:p w:rsidR="00D0623E" w:rsidRDefault="00D0623E" w:rsidP="00867C37">
      <w:r>
        <w:t>The following table summarises all parameters used for calculations.</w:t>
      </w:r>
    </w:p>
    <w:p w:rsidR="00D0623E" w:rsidRPr="00187E68" w:rsidRDefault="00187E68" w:rsidP="00187E68">
      <w:pPr>
        <w:pStyle w:val="NoSpacing"/>
        <w:rPr>
          <w:b/>
          <w:sz w:val="20"/>
          <w:szCs w:val="20"/>
        </w:rPr>
      </w:pPr>
      <w:r w:rsidRPr="00187E68">
        <w:rPr>
          <w:b/>
          <w:sz w:val="20"/>
          <w:szCs w:val="20"/>
        </w:rPr>
        <w:t xml:space="preserve">Table </w:t>
      </w:r>
      <w:r w:rsidRPr="00187E68">
        <w:rPr>
          <w:b/>
          <w:sz w:val="20"/>
          <w:szCs w:val="20"/>
        </w:rPr>
        <w:fldChar w:fldCharType="begin"/>
      </w:r>
      <w:r w:rsidRPr="00187E68">
        <w:rPr>
          <w:b/>
          <w:sz w:val="20"/>
          <w:szCs w:val="20"/>
        </w:rPr>
        <w:instrText xml:space="preserve"> SEQ Table \* ARABIC </w:instrText>
      </w:r>
      <w:r w:rsidRPr="00187E68">
        <w:rPr>
          <w:b/>
          <w:sz w:val="20"/>
          <w:szCs w:val="20"/>
        </w:rPr>
        <w:fldChar w:fldCharType="separate"/>
      </w:r>
      <w:r w:rsidR="00AC6EDE">
        <w:rPr>
          <w:b/>
          <w:noProof/>
          <w:sz w:val="20"/>
          <w:szCs w:val="20"/>
        </w:rPr>
        <w:t>4</w:t>
      </w:r>
      <w:r w:rsidRPr="00187E68">
        <w:rPr>
          <w:b/>
          <w:sz w:val="20"/>
          <w:szCs w:val="20"/>
        </w:rPr>
        <w:fldChar w:fldCharType="end"/>
      </w:r>
      <w:r w:rsidR="00D0623E" w:rsidRPr="00187E68">
        <w:rPr>
          <w:b/>
          <w:sz w:val="20"/>
          <w:szCs w:val="20"/>
        </w:rPr>
        <w:t>: Parameters</w:t>
      </w:r>
    </w:p>
    <w:tbl>
      <w:tblPr>
        <w:tblStyle w:val="TableGrid"/>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17"/>
        <w:gridCol w:w="1562"/>
        <w:gridCol w:w="1559"/>
        <w:gridCol w:w="2126"/>
        <w:gridCol w:w="2632"/>
      </w:tblGrid>
      <w:tr w:rsidR="00096CC4" w:rsidRPr="00BB10C8" w:rsidTr="000115A2">
        <w:trPr>
          <w:tblHeader/>
        </w:trPr>
        <w:tc>
          <w:tcPr>
            <w:tcW w:w="1117" w:type="dxa"/>
            <w:shd w:val="clear" w:color="auto" w:fill="DEEAF6" w:themeFill="accent1" w:themeFillTint="33"/>
            <w:vAlign w:val="center"/>
          </w:tcPr>
          <w:p w:rsidR="00D0623E" w:rsidRPr="000115A2" w:rsidRDefault="00D0623E" w:rsidP="000115A2">
            <w:pPr>
              <w:pStyle w:val="NoSpacing"/>
              <w:jc w:val="center"/>
              <w:rPr>
                <w:rFonts w:asciiTheme="minorHAnsi" w:hAnsiTheme="minorHAnsi"/>
                <w:b/>
                <w:sz w:val="20"/>
                <w:szCs w:val="20"/>
              </w:rPr>
            </w:pPr>
            <w:r w:rsidRPr="000115A2">
              <w:rPr>
                <w:rFonts w:asciiTheme="minorHAnsi" w:hAnsiTheme="minorHAnsi"/>
                <w:b/>
                <w:sz w:val="20"/>
                <w:szCs w:val="20"/>
              </w:rPr>
              <w:t>Parameter</w:t>
            </w:r>
          </w:p>
        </w:tc>
        <w:tc>
          <w:tcPr>
            <w:tcW w:w="1562" w:type="dxa"/>
            <w:shd w:val="clear" w:color="auto" w:fill="DEEAF6" w:themeFill="accent1" w:themeFillTint="33"/>
            <w:vAlign w:val="center"/>
          </w:tcPr>
          <w:p w:rsidR="00D0623E" w:rsidRPr="000115A2" w:rsidRDefault="00D0623E" w:rsidP="000115A2">
            <w:pPr>
              <w:pStyle w:val="NoSpacing"/>
              <w:jc w:val="center"/>
              <w:rPr>
                <w:rFonts w:asciiTheme="minorHAnsi" w:hAnsiTheme="minorHAnsi"/>
                <w:b/>
                <w:sz w:val="20"/>
                <w:szCs w:val="20"/>
              </w:rPr>
            </w:pPr>
            <w:r w:rsidRPr="000115A2">
              <w:rPr>
                <w:rFonts w:asciiTheme="minorHAnsi" w:hAnsiTheme="minorHAnsi"/>
                <w:b/>
                <w:sz w:val="20"/>
                <w:szCs w:val="20"/>
              </w:rPr>
              <w:t>Description</w:t>
            </w:r>
          </w:p>
        </w:tc>
        <w:tc>
          <w:tcPr>
            <w:tcW w:w="1559" w:type="dxa"/>
            <w:shd w:val="clear" w:color="auto" w:fill="DEEAF6" w:themeFill="accent1" w:themeFillTint="33"/>
            <w:vAlign w:val="center"/>
          </w:tcPr>
          <w:p w:rsidR="00D0623E" w:rsidRPr="000115A2" w:rsidRDefault="00D0623E" w:rsidP="000115A2">
            <w:pPr>
              <w:pStyle w:val="NoSpacing"/>
              <w:jc w:val="center"/>
              <w:rPr>
                <w:rFonts w:asciiTheme="minorHAnsi" w:hAnsiTheme="minorHAnsi"/>
                <w:b/>
                <w:sz w:val="20"/>
                <w:szCs w:val="20"/>
              </w:rPr>
            </w:pPr>
            <w:r w:rsidRPr="000115A2">
              <w:rPr>
                <w:rFonts w:asciiTheme="minorHAnsi" w:hAnsiTheme="minorHAnsi"/>
                <w:b/>
                <w:sz w:val="20"/>
                <w:szCs w:val="20"/>
              </w:rPr>
              <w:t>Value</w:t>
            </w:r>
          </w:p>
        </w:tc>
        <w:tc>
          <w:tcPr>
            <w:tcW w:w="2126" w:type="dxa"/>
            <w:shd w:val="clear" w:color="auto" w:fill="DEEAF6" w:themeFill="accent1" w:themeFillTint="33"/>
            <w:vAlign w:val="center"/>
          </w:tcPr>
          <w:p w:rsidR="00D0623E" w:rsidRPr="000115A2" w:rsidRDefault="00D0623E" w:rsidP="000115A2">
            <w:pPr>
              <w:pStyle w:val="NoSpacing"/>
              <w:jc w:val="center"/>
              <w:rPr>
                <w:rFonts w:asciiTheme="minorHAnsi" w:hAnsiTheme="minorHAnsi"/>
                <w:b/>
                <w:sz w:val="20"/>
                <w:szCs w:val="20"/>
              </w:rPr>
            </w:pPr>
            <w:r w:rsidRPr="000115A2">
              <w:rPr>
                <w:rFonts w:asciiTheme="minorHAnsi" w:hAnsiTheme="minorHAnsi"/>
                <w:b/>
                <w:sz w:val="20"/>
                <w:szCs w:val="20"/>
              </w:rPr>
              <w:t>Data Source</w:t>
            </w:r>
          </w:p>
        </w:tc>
        <w:tc>
          <w:tcPr>
            <w:tcW w:w="2632" w:type="dxa"/>
            <w:shd w:val="clear" w:color="auto" w:fill="DEEAF6" w:themeFill="accent1" w:themeFillTint="33"/>
            <w:vAlign w:val="center"/>
          </w:tcPr>
          <w:p w:rsidR="00D0623E" w:rsidRPr="000115A2" w:rsidRDefault="00D0623E" w:rsidP="000115A2">
            <w:pPr>
              <w:pStyle w:val="NoSpacing"/>
              <w:jc w:val="center"/>
              <w:rPr>
                <w:rFonts w:asciiTheme="minorHAnsi" w:hAnsiTheme="minorHAnsi"/>
                <w:b/>
                <w:sz w:val="20"/>
                <w:szCs w:val="20"/>
              </w:rPr>
            </w:pPr>
            <w:r w:rsidRPr="000115A2">
              <w:rPr>
                <w:rFonts w:asciiTheme="minorHAnsi" w:hAnsiTheme="minorHAnsi"/>
                <w:b/>
                <w:sz w:val="20"/>
                <w:szCs w:val="20"/>
              </w:rPr>
              <w:t>Plausibility</w:t>
            </w:r>
          </w:p>
        </w:tc>
      </w:tr>
      <w:tr w:rsidR="00096CC4" w:rsidRPr="00BB10C8" w:rsidTr="000115A2">
        <w:tc>
          <w:tcPr>
            <w:tcW w:w="1117" w:type="dxa"/>
            <w:vAlign w:val="center"/>
          </w:tcPr>
          <w:p w:rsidR="00D0623E" w:rsidRPr="000115A2" w:rsidRDefault="00D0623E" w:rsidP="000115A2">
            <w:pPr>
              <w:pStyle w:val="NoSpacing"/>
              <w:jc w:val="center"/>
              <w:rPr>
                <w:rFonts w:asciiTheme="minorHAnsi" w:hAnsiTheme="minorHAnsi"/>
                <w:sz w:val="20"/>
                <w:szCs w:val="20"/>
              </w:rPr>
            </w:pPr>
            <w:r w:rsidRPr="000115A2">
              <w:rPr>
                <w:rFonts w:asciiTheme="minorHAnsi" w:hAnsiTheme="minorHAnsi"/>
                <w:sz w:val="20"/>
                <w:szCs w:val="20"/>
              </w:rPr>
              <w:t>SFC</w:t>
            </w:r>
            <w:r w:rsidRPr="000115A2">
              <w:rPr>
                <w:rFonts w:asciiTheme="minorHAnsi" w:hAnsiTheme="minorHAnsi"/>
                <w:sz w:val="20"/>
                <w:szCs w:val="20"/>
                <w:vertAlign w:val="subscript"/>
              </w:rPr>
              <w:t>B</w:t>
            </w:r>
          </w:p>
        </w:tc>
        <w:tc>
          <w:tcPr>
            <w:tcW w:w="1562" w:type="dxa"/>
            <w:vAlign w:val="center"/>
          </w:tcPr>
          <w:p w:rsidR="00D0623E" w:rsidRPr="000115A2" w:rsidRDefault="00D0623E" w:rsidP="000115A2">
            <w:pPr>
              <w:pStyle w:val="NoSpacing"/>
              <w:jc w:val="center"/>
              <w:rPr>
                <w:rFonts w:asciiTheme="minorHAnsi" w:hAnsiTheme="minorHAnsi"/>
                <w:sz w:val="20"/>
                <w:szCs w:val="20"/>
              </w:rPr>
            </w:pPr>
            <w:r w:rsidRPr="000115A2">
              <w:rPr>
                <w:rFonts w:asciiTheme="minorHAnsi" w:hAnsiTheme="minorHAnsi"/>
                <w:sz w:val="20"/>
                <w:szCs w:val="20"/>
              </w:rPr>
              <w:t>Specific fuel consumption buses</w:t>
            </w:r>
          </w:p>
        </w:tc>
        <w:tc>
          <w:tcPr>
            <w:tcW w:w="1559" w:type="dxa"/>
            <w:vAlign w:val="center"/>
          </w:tcPr>
          <w:p w:rsidR="00D0623E" w:rsidRPr="000115A2" w:rsidRDefault="00D0623E" w:rsidP="000115A2">
            <w:pPr>
              <w:pStyle w:val="NoSpacing"/>
              <w:jc w:val="center"/>
              <w:rPr>
                <w:rFonts w:asciiTheme="minorHAnsi" w:hAnsiTheme="minorHAnsi"/>
                <w:sz w:val="20"/>
                <w:szCs w:val="20"/>
              </w:rPr>
            </w:pPr>
            <w:r w:rsidRPr="000115A2">
              <w:rPr>
                <w:rFonts w:asciiTheme="minorHAnsi" w:hAnsiTheme="minorHAnsi"/>
                <w:sz w:val="20"/>
                <w:szCs w:val="20"/>
              </w:rPr>
              <w:t>43 l/100km</w:t>
            </w:r>
          </w:p>
        </w:tc>
        <w:tc>
          <w:tcPr>
            <w:tcW w:w="2126" w:type="dxa"/>
            <w:vAlign w:val="center"/>
          </w:tcPr>
          <w:p w:rsidR="00D0623E" w:rsidRPr="000115A2" w:rsidRDefault="00C14C7F" w:rsidP="000115A2">
            <w:pPr>
              <w:pStyle w:val="NoSpacing"/>
              <w:jc w:val="center"/>
              <w:rPr>
                <w:rFonts w:asciiTheme="minorHAnsi" w:hAnsiTheme="minorHAnsi"/>
                <w:sz w:val="20"/>
                <w:szCs w:val="20"/>
              </w:rPr>
            </w:pPr>
            <w:r>
              <w:rPr>
                <w:rFonts w:asciiTheme="minorHAnsi" w:hAnsiTheme="minorHAnsi"/>
                <w:sz w:val="20"/>
                <w:szCs w:val="20"/>
              </w:rPr>
              <w:t>Grütter</w:t>
            </w:r>
            <w:r w:rsidR="00D0623E" w:rsidRPr="000115A2">
              <w:rPr>
                <w:rFonts w:asciiTheme="minorHAnsi" w:hAnsiTheme="minorHAnsi"/>
                <w:sz w:val="20"/>
                <w:szCs w:val="20"/>
              </w:rPr>
              <w:t xml:space="preserve"> Consulting, 2016a based on a survey of inter-urban buses, Bangladesh; all diesel</w:t>
            </w:r>
          </w:p>
        </w:tc>
        <w:tc>
          <w:tcPr>
            <w:tcW w:w="2632" w:type="dxa"/>
            <w:vAlign w:val="center"/>
          </w:tcPr>
          <w:p w:rsidR="00D0623E" w:rsidRPr="000115A2" w:rsidRDefault="000115A2" w:rsidP="000115A2">
            <w:pPr>
              <w:pStyle w:val="NoSpacing"/>
              <w:jc w:val="center"/>
              <w:rPr>
                <w:rFonts w:asciiTheme="minorHAnsi" w:hAnsiTheme="minorHAnsi"/>
                <w:sz w:val="20"/>
                <w:szCs w:val="20"/>
              </w:rPr>
            </w:pPr>
            <w:r>
              <w:rPr>
                <w:rFonts w:asciiTheme="minorHAnsi" w:hAnsiTheme="minorHAnsi"/>
                <w:sz w:val="20"/>
                <w:szCs w:val="20"/>
              </w:rPr>
              <w:t>M</w:t>
            </w:r>
            <w:r w:rsidR="00D0623E" w:rsidRPr="000115A2">
              <w:rPr>
                <w:rFonts w:asciiTheme="minorHAnsi" w:hAnsiTheme="minorHAnsi"/>
                <w:sz w:val="20"/>
                <w:szCs w:val="20"/>
              </w:rPr>
              <w:t>edian driving speed 33km/h</w:t>
            </w:r>
            <w:r w:rsidR="003B180C" w:rsidRPr="000115A2">
              <w:rPr>
                <w:rStyle w:val="FootnoteReference"/>
                <w:rFonts w:asciiTheme="minorHAnsi" w:hAnsiTheme="minorHAnsi"/>
                <w:sz w:val="20"/>
                <w:szCs w:val="20"/>
              </w:rPr>
              <w:footnoteReference w:id="34"/>
            </w:r>
            <w:r w:rsidR="00C707AE" w:rsidRPr="000115A2">
              <w:rPr>
                <w:rFonts w:asciiTheme="minorHAnsi" w:hAnsiTheme="minorHAnsi"/>
                <w:sz w:val="20"/>
                <w:szCs w:val="20"/>
              </w:rPr>
              <w:t xml:space="preserve">. Using </w:t>
            </w:r>
            <w:r w:rsidR="00301333" w:rsidRPr="000115A2">
              <w:rPr>
                <w:rFonts w:asciiTheme="minorHAnsi" w:hAnsiTheme="minorHAnsi"/>
                <w:sz w:val="20"/>
                <w:szCs w:val="20"/>
              </w:rPr>
              <w:t>COPERT</w:t>
            </w:r>
            <w:r w:rsidR="00C707AE" w:rsidRPr="000115A2">
              <w:rPr>
                <w:rFonts w:asciiTheme="minorHAnsi" w:hAnsiTheme="minorHAnsi"/>
                <w:sz w:val="20"/>
                <w:szCs w:val="20"/>
              </w:rPr>
              <w:t xml:space="preserve"> for coach &lt;18t, 0% gradient, 100% load factor, </w:t>
            </w:r>
            <w:r w:rsidR="003B180C" w:rsidRPr="000115A2">
              <w:rPr>
                <w:rFonts w:asciiTheme="minorHAnsi" w:hAnsiTheme="minorHAnsi"/>
                <w:sz w:val="20"/>
                <w:szCs w:val="20"/>
              </w:rPr>
              <w:t xml:space="preserve">33 km/h speed, </w:t>
            </w:r>
            <w:r w:rsidR="00C707AE" w:rsidRPr="000115A2">
              <w:rPr>
                <w:rFonts w:asciiTheme="minorHAnsi" w:hAnsiTheme="minorHAnsi"/>
                <w:sz w:val="20"/>
                <w:szCs w:val="20"/>
              </w:rPr>
              <w:t>conventional technology the resultant SFC is 41 l/100km</w:t>
            </w:r>
            <w:r w:rsidR="00C707AE" w:rsidRPr="000115A2">
              <w:rPr>
                <w:rStyle w:val="FootnoteReference"/>
                <w:rFonts w:asciiTheme="minorHAnsi" w:hAnsiTheme="minorHAnsi"/>
                <w:sz w:val="20"/>
                <w:szCs w:val="20"/>
              </w:rPr>
              <w:footnoteReference w:id="35"/>
            </w:r>
          </w:p>
        </w:tc>
      </w:tr>
      <w:tr w:rsidR="00096CC4" w:rsidRPr="00BB10C8" w:rsidTr="000115A2">
        <w:tc>
          <w:tcPr>
            <w:tcW w:w="1117" w:type="dxa"/>
            <w:vAlign w:val="center"/>
          </w:tcPr>
          <w:p w:rsidR="00D0623E" w:rsidRPr="000115A2" w:rsidRDefault="00D0623E" w:rsidP="000115A2">
            <w:pPr>
              <w:pStyle w:val="NoSpacing"/>
              <w:jc w:val="center"/>
              <w:rPr>
                <w:rFonts w:asciiTheme="minorHAnsi" w:hAnsiTheme="minorHAnsi"/>
                <w:sz w:val="20"/>
                <w:szCs w:val="20"/>
              </w:rPr>
            </w:pPr>
            <w:r w:rsidRPr="000115A2">
              <w:rPr>
                <w:rFonts w:asciiTheme="minorHAnsi" w:hAnsiTheme="minorHAnsi"/>
                <w:sz w:val="20"/>
                <w:szCs w:val="20"/>
              </w:rPr>
              <w:t>NCV</w:t>
            </w:r>
            <w:r w:rsidRPr="000115A2">
              <w:rPr>
                <w:rFonts w:asciiTheme="minorHAnsi" w:hAnsiTheme="minorHAnsi"/>
                <w:sz w:val="20"/>
                <w:szCs w:val="20"/>
                <w:vertAlign w:val="subscript"/>
              </w:rPr>
              <w:t>D</w:t>
            </w:r>
          </w:p>
        </w:tc>
        <w:tc>
          <w:tcPr>
            <w:tcW w:w="1562" w:type="dxa"/>
            <w:vAlign w:val="center"/>
          </w:tcPr>
          <w:p w:rsidR="00D0623E" w:rsidRPr="000115A2" w:rsidRDefault="00D0623E" w:rsidP="000115A2">
            <w:pPr>
              <w:pStyle w:val="NoSpacing"/>
              <w:jc w:val="center"/>
              <w:rPr>
                <w:rFonts w:asciiTheme="minorHAnsi" w:hAnsiTheme="minorHAnsi"/>
                <w:sz w:val="20"/>
                <w:szCs w:val="20"/>
              </w:rPr>
            </w:pPr>
            <w:r w:rsidRPr="000115A2">
              <w:rPr>
                <w:rFonts w:asciiTheme="minorHAnsi" w:hAnsiTheme="minorHAnsi"/>
                <w:sz w:val="20"/>
                <w:szCs w:val="20"/>
              </w:rPr>
              <w:t>Net Calorific Value of diesel</w:t>
            </w:r>
          </w:p>
        </w:tc>
        <w:tc>
          <w:tcPr>
            <w:tcW w:w="1559" w:type="dxa"/>
            <w:vAlign w:val="center"/>
          </w:tcPr>
          <w:p w:rsidR="00D0623E" w:rsidRPr="000115A2" w:rsidRDefault="00D0623E" w:rsidP="000115A2">
            <w:pPr>
              <w:pStyle w:val="NoSpacing"/>
              <w:jc w:val="center"/>
              <w:rPr>
                <w:rFonts w:asciiTheme="minorHAnsi" w:hAnsiTheme="minorHAnsi"/>
                <w:sz w:val="20"/>
                <w:szCs w:val="20"/>
              </w:rPr>
            </w:pPr>
            <w:r w:rsidRPr="000115A2">
              <w:rPr>
                <w:rFonts w:asciiTheme="minorHAnsi" w:hAnsiTheme="minorHAnsi"/>
                <w:sz w:val="20"/>
                <w:szCs w:val="20"/>
              </w:rPr>
              <w:t>43.0 MJ/kg</w:t>
            </w:r>
          </w:p>
        </w:tc>
        <w:tc>
          <w:tcPr>
            <w:tcW w:w="2126" w:type="dxa"/>
            <w:vAlign w:val="center"/>
          </w:tcPr>
          <w:p w:rsidR="00D0623E" w:rsidRPr="000115A2" w:rsidRDefault="00D0623E" w:rsidP="000115A2">
            <w:pPr>
              <w:pStyle w:val="NoSpacing"/>
              <w:jc w:val="center"/>
              <w:rPr>
                <w:rFonts w:asciiTheme="minorHAnsi" w:hAnsiTheme="minorHAnsi"/>
                <w:sz w:val="20"/>
                <w:szCs w:val="20"/>
              </w:rPr>
            </w:pPr>
            <w:r w:rsidRPr="000115A2">
              <w:rPr>
                <w:rFonts w:asciiTheme="minorHAnsi" w:hAnsiTheme="minorHAnsi"/>
                <w:sz w:val="20"/>
                <w:szCs w:val="20"/>
              </w:rPr>
              <w:t>IPCC, 2006, Table 1.2</w:t>
            </w:r>
          </w:p>
        </w:tc>
        <w:tc>
          <w:tcPr>
            <w:tcW w:w="2632" w:type="dxa"/>
            <w:vAlign w:val="center"/>
          </w:tcPr>
          <w:p w:rsidR="00D0623E" w:rsidRPr="000115A2" w:rsidRDefault="00301333" w:rsidP="000115A2">
            <w:pPr>
              <w:pStyle w:val="NoSpacing"/>
              <w:jc w:val="center"/>
              <w:rPr>
                <w:rFonts w:asciiTheme="minorHAnsi" w:hAnsiTheme="minorHAnsi"/>
                <w:sz w:val="20"/>
                <w:szCs w:val="20"/>
              </w:rPr>
            </w:pPr>
            <w:r w:rsidRPr="000115A2">
              <w:rPr>
                <w:rFonts w:asciiTheme="minorHAnsi" w:hAnsiTheme="minorHAnsi"/>
                <w:sz w:val="20"/>
                <w:szCs w:val="20"/>
              </w:rPr>
              <w:t>Official publication</w:t>
            </w:r>
          </w:p>
        </w:tc>
      </w:tr>
      <w:tr w:rsidR="00096CC4" w:rsidRPr="00BB10C8" w:rsidTr="000115A2">
        <w:tc>
          <w:tcPr>
            <w:tcW w:w="1117" w:type="dxa"/>
            <w:vAlign w:val="center"/>
          </w:tcPr>
          <w:p w:rsidR="00D0623E" w:rsidRPr="000115A2" w:rsidRDefault="00D0623E" w:rsidP="000115A2">
            <w:pPr>
              <w:pStyle w:val="NoSpacing"/>
              <w:jc w:val="center"/>
              <w:rPr>
                <w:rFonts w:asciiTheme="minorHAnsi" w:hAnsiTheme="minorHAnsi"/>
                <w:sz w:val="20"/>
                <w:szCs w:val="20"/>
              </w:rPr>
            </w:pPr>
            <w:r w:rsidRPr="000115A2">
              <w:rPr>
                <w:rFonts w:asciiTheme="minorHAnsi" w:hAnsiTheme="minorHAnsi"/>
                <w:sz w:val="20"/>
                <w:szCs w:val="20"/>
              </w:rPr>
              <w:t>EF</w:t>
            </w:r>
            <w:r w:rsidRPr="000115A2">
              <w:rPr>
                <w:rFonts w:asciiTheme="minorHAnsi" w:hAnsiTheme="minorHAnsi"/>
                <w:sz w:val="20"/>
                <w:szCs w:val="20"/>
                <w:vertAlign w:val="subscript"/>
              </w:rPr>
              <w:t>CO2,D</w:t>
            </w:r>
          </w:p>
        </w:tc>
        <w:tc>
          <w:tcPr>
            <w:tcW w:w="1562" w:type="dxa"/>
            <w:vAlign w:val="center"/>
          </w:tcPr>
          <w:p w:rsidR="00D0623E" w:rsidRPr="000115A2" w:rsidRDefault="00D0623E" w:rsidP="000115A2">
            <w:pPr>
              <w:pStyle w:val="NoSpacing"/>
              <w:jc w:val="center"/>
              <w:rPr>
                <w:rFonts w:asciiTheme="minorHAnsi" w:hAnsiTheme="minorHAnsi"/>
                <w:sz w:val="20"/>
                <w:szCs w:val="20"/>
              </w:rPr>
            </w:pPr>
            <w:r w:rsidRPr="000115A2">
              <w:rPr>
                <w:rFonts w:asciiTheme="minorHAnsi" w:hAnsiTheme="minorHAnsi"/>
                <w:sz w:val="20"/>
                <w:szCs w:val="20"/>
              </w:rPr>
              <w:t>CO</w:t>
            </w:r>
            <w:r w:rsidRPr="000115A2">
              <w:rPr>
                <w:rFonts w:asciiTheme="minorHAnsi" w:hAnsiTheme="minorHAnsi"/>
                <w:sz w:val="20"/>
                <w:szCs w:val="20"/>
                <w:vertAlign w:val="subscript"/>
              </w:rPr>
              <w:t>2</w:t>
            </w:r>
            <w:r w:rsidRPr="000115A2">
              <w:rPr>
                <w:rFonts w:asciiTheme="minorHAnsi" w:hAnsiTheme="minorHAnsi"/>
                <w:sz w:val="20"/>
                <w:szCs w:val="20"/>
              </w:rPr>
              <w:t xml:space="preserve"> Emission Factor of diesel</w:t>
            </w:r>
          </w:p>
        </w:tc>
        <w:tc>
          <w:tcPr>
            <w:tcW w:w="1559" w:type="dxa"/>
            <w:vAlign w:val="center"/>
          </w:tcPr>
          <w:p w:rsidR="00D0623E" w:rsidRPr="000115A2" w:rsidRDefault="00D0623E" w:rsidP="000115A2">
            <w:pPr>
              <w:pStyle w:val="NoSpacing"/>
              <w:jc w:val="center"/>
              <w:rPr>
                <w:rFonts w:asciiTheme="minorHAnsi" w:hAnsiTheme="minorHAnsi"/>
                <w:sz w:val="20"/>
                <w:szCs w:val="20"/>
              </w:rPr>
            </w:pPr>
            <w:r w:rsidRPr="000115A2">
              <w:rPr>
                <w:rFonts w:asciiTheme="minorHAnsi" w:hAnsiTheme="minorHAnsi"/>
                <w:sz w:val="20"/>
                <w:szCs w:val="20"/>
              </w:rPr>
              <w:t>74.1 gCO</w:t>
            </w:r>
            <w:r w:rsidRPr="000115A2">
              <w:rPr>
                <w:rFonts w:asciiTheme="minorHAnsi" w:hAnsiTheme="minorHAnsi"/>
                <w:sz w:val="20"/>
                <w:szCs w:val="20"/>
                <w:vertAlign w:val="subscript"/>
              </w:rPr>
              <w:t>2</w:t>
            </w:r>
            <w:r w:rsidRPr="000115A2">
              <w:rPr>
                <w:rFonts w:asciiTheme="minorHAnsi" w:hAnsiTheme="minorHAnsi"/>
                <w:sz w:val="20"/>
                <w:szCs w:val="20"/>
              </w:rPr>
              <w:t>/MJ</w:t>
            </w:r>
          </w:p>
        </w:tc>
        <w:tc>
          <w:tcPr>
            <w:tcW w:w="2126" w:type="dxa"/>
            <w:vAlign w:val="center"/>
          </w:tcPr>
          <w:p w:rsidR="00D0623E" w:rsidRPr="000115A2" w:rsidRDefault="00D0623E" w:rsidP="000115A2">
            <w:pPr>
              <w:pStyle w:val="NoSpacing"/>
              <w:jc w:val="center"/>
              <w:rPr>
                <w:rFonts w:asciiTheme="minorHAnsi" w:hAnsiTheme="minorHAnsi"/>
                <w:sz w:val="20"/>
                <w:szCs w:val="20"/>
              </w:rPr>
            </w:pPr>
            <w:r w:rsidRPr="000115A2">
              <w:rPr>
                <w:rFonts w:asciiTheme="minorHAnsi" w:hAnsiTheme="minorHAnsi"/>
                <w:sz w:val="20"/>
                <w:szCs w:val="20"/>
              </w:rPr>
              <w:t>IPCC, 2006, Table 1.4</w:t>
            </w:r>
          </w:p>
        </w:tc>
        <w:tc>
          <w:tcPr>
            <w:tcW w:w="2632" w:type="dxa"/>
            <w:vAlign w:val="center"/>
          </w:tcPr>
          <w:p w:rsidR="00D0623E" w:rsidRPr="000115A2" w:rsidRDefault="00D0623E" w:rsidP="000115A2">
            <w:pPr>
              <w:pStyle w:val="NoSpacing"/>
              <w:jc w:val="center"/>
              <w:rPr>
                <w:rFonts w:asciiTheme="minorHAnsi" w:hAnsiTheme="minorHAnsi"/>
                <w:sz w:val="20"/>
                <w:szCs w:val="20"/>
              </w:rPr>
            </w:pPr>
            <w:r w:rsidRPr="000115A2">
              <w:rPr>
                <w:rFonts w:asciiTheme="minorHAnsi" w:hAnsiTheme="minorHAnsi"/>
                <w:sz w:val="20"/>
                <w:szCs w:val="20"/>
              </w:rPr>
              <w:t>O</w:t>
            </w:r>
            <w:r w:rsidR="00301333" w:rsidRPr="000115A2">
              <w:rPr>
                <w:rFonts w:asciiTheme="minorHAnsi" w:hAnsiTheme="minorHAnsi"/>
                <w:sz w:val="20"/>
                <w:szCs w:val="20"/>
              </w:rPr>
              <w:t>fficial publication</w:t>
            </w:r>
          </w:p>
        </w:tc>
      </w:tr>
      <w:tr w:rsidR="00096CC4" w:rsidRPr="00BB10C8" w:rsidTr="000115A2">
        <w:tc>
          <w:tcPr>
            <w:tcW w:w="1117" w:type="dxa"/>
            <w:vAlign w:val="center"/>
          </w:tcPr>
          <w:p w:rsidR="00D0623E" w:rsidRPr="000115A2" w:rsidRDefault="00D0623E" w:rsidP="000115A2">
            <w:pPr>
              <w:pStyle w:val="NoSpacing"/>
              <w:jc w:val="center"/>
              <w:rPr>
                <w:rFonts w:asciiTheme="minorHAnsi" w:hAnsiTheme="minorHAnsi"/>
                <w:sz w:val="20"/>
                <w:szCs w:val="20"/>
              </w:rPr>
            </w:pPr>
          </w:p>
        </w:tc>
        <w:tc>
          <w:tcPr>
            <w:tcW w:w="1562" w:type="dxa"/>
            <w:vAlign w:val="center"/>
          </w:tcPr>
          <w:p w:rsidR="00D0623E" w:rsidRPr="000115A2" w:rsidRDefault="00D0623E" w:rsidP="000115A2">
            <w:pPr>
              <w:pStyle w:val="NoSpacing"/>
              <w:jc w:val="center"/>
              <w:rPr>
                <w:rFonts w:asciiTheme="minorHAnsi" w:hAnsiTheme="minorHAnsi"/>
                <w:sz w:val="20"/>
                <w:szCs w:val="20"/>
              </w:rPr>
            </w:pPr>
            <w:r w:rsidRPr="000115A2">
              <w:rPr>
                <w:rFonts w:asciiTheme="minorHAnsi" w:hAnsiTheme="minorHAnsi"/>
                <w:sz w:val="20"/>
                <w:szCs w:val="20"/>
              </w:rPr>
              <w:t>Density of diesel</w:t>
            </w:r>
          </w:p>
        </w:tc>
        <w:tc>
          <w:tcPr>
            <w:tcW w:w="1559" w:type="dxa"/>
            <w:vAlign w:val="center"/>
          </w:tcPr>
          <w:p w:rsidR="00D0623E" w:rsidRPr="000115A2" w:rsidRDefault="00D0623E" w:rsidP="000115A2">
            <w:pPr>
              <w:pStyle w:val="NoSpacing"/>
              <w:jc w:val="center"/>
              <w:rPr>
                <w:rFonts w:asciiTheme="minorHAnsi" w:hAnsiTheme="minorHAnsi"/>
                <w:sz w:val="20"/>
                <w:szCs w:val="20"/>
              </w:rPr>
            </w:pPr>
            <w:r w:rsidRPr="000115A2">
              <w:rPr>
                <w:rFonts w:asciiTheme="minorHAnsi" w:hAnsiTheme="minorHAnsi"/>
                <w:sz w:val="20"/>
                <w:szCs w:val="20"/>
              </w:rPr>
              <w:t>0.84 kg/l</w:t>
            </w:r>
          </w:p>
        </w:tc>
        <w:tc>
          <w:tcPr>
            <w:tcW w:w="2126" w:type="dxa"/>
            <w:vAlign w:val="center"/>
          </w:tcPr>
          <w:p w:rsidR="00D0623E" w:rsidRPr="000115A2" w:rsidRDefault="00D0623E" w:rsidP="000115A2">
            <w:pPr>
              <w:pStyle w:val="NoSpacing"/>
              <w:jc w:val="center"/>
              <w:rPr>
                <w:rFonts w:asciiTheme="minorHAnsi" w:hAnsiTheme="minorHAnsi"/>
                <w:sz w:val="20"/>
                <w:szCs w:val="20"/>
              </w:rPr>
            </w:pPr>
            <w:r w:rsidRPr="000115A2">
              <w:rPr>
                <w:rFonts w:asciiTheme="minorHAnsi" w:hAnsiTheme="minorHAnsi"/>
                <w:sz w:val="20"/>
                <w:szCs w:val="20"/>
              </w:rPr>
              <w:t>IEA, 2005, table A.3.8</w:t>
            </w:r>
          </w:p>
        </w:tc>
        <w:tc>
          <w:tcPr>
            <w:tcW w:w="2632" w:type="dxa"/>
            <w:vAlign w:val="center"/>
          </w:tcPr>
          <w:p w:rsidR="00D0623E" w:rsidRPr="000115A2" w:rsidRDefault="00D0623E" w:rsidP="000115A2">
            <w:pPr>
              <w:pStyle w:val="NoSpacing"/>
              <w:jc w:val="center"/>
              <w:rPr>
                <w:rFonts w:asciiTheme="minorHAnsi" w:hAnsiTheme="minorHAnsi"/>
                <w:sz w:val="20"/>
                <w:szCs w:val="20"/>
              </w:rPr>
            </w:pPr>
            <w:r w:rsidRPr="000115A2">
              <w:rPr>
                <w:rFonts w:asciiTheme="minorHAnsi" w:hAnsiTheme="minorHAnsi"/>
                <w:sz w:val="20"/>
                <w:szCs w:val="20"/>
              </w:rPr>
              <w:t>O</w:t>
            </w:r>
            <w:r w:rsidR="00301333" w:rsidRPr="000115A2">
              <w:rPr>
                <w:rFonts w:asciiTheme="minorHAnsi" w:hAnsiTheme="minorHAnsi"/>
                <w:sz w:val="20"/>
                <w:szCs w:val="20"/>
              </w:rPr>
              <w:t>fficial publication</w:t>
            </w:r>
          </w:p>
        </w:tc>
      </w:tr>
      <w:tr w:rsidR="00096CC4" w:rsidRPr="00BB10C8" w:rsidTr="000115A2">
        <w:tc>
          <w:tcPr>
            <w:tcW w:w="1117" w:type="dxa"/>
            <w:vAlign w:val="center"/>
          </w:tcPr>
          <w:p w:rsidR="00D0623E" w:rsidRPr="000115A2" w:rsidRDefault="00D0623E" w:rsidP="000115A2">
            <w:pPr>
              <w:pStyle w:val="NoSpacing"/>
              <w:jc w:val="center"/>
              <w:rPr>
                <w:rFonts w:asciiTheme="minorHAnsi" w:hAnsiTheme="minorHAnsi"/>
                <w:sz w:val="20"/>
                <w:szCs w:val="20"/>
              </w:rPr>
            </w:pPr>
            <w:r w:rsidRPr="000115A2">
              <w:rPr>
                <w:rFonts w:asciiTheme="minorHAnsi" w:hAnsiTheme="minorHAnsi"/>
                <w:sz w:val="20"/>
                <w:szCs w:val="20"/>
              </w:rPr>
              <w:t>OC</w:t>
            </w:r>
            <w:r w:rsidRPr="000115A2">
              <w:rPr>
                <w:rFonts w:asciiTheme="minorHAnsi" w:hAnsiTheme="minorHAnsi"/>
                <w:sz w:val="20"/>
                <w:szCs w:val="20"/>
                <w:vertAlign w:val="subscript"/>
              </w:rPr>
              <w:t>B</w:t>
            </w:r>
          </w:p>
        </w:tc>
        <w:tc>
          <w:tcPr>
            <w:tcW w:w="1562" w:type="dxa"/>
            <w:vAlign w:val="center"/>
          </w:tcPr>
          <w:p w:rsidR="00D0623E" w:rsidRPr="000115A2" w:rsidRDefault="00D0623E" w:rsidP="000115A2">
            <w:pPr>
              <w:pStyle w:val="NoSpacing"/>
              <w:jc w:val="center"/>
              <w:rPr>
                <w:rFonts w:asciiTheme="minorHAnsi" w:hAnsiTheme="minorHAnsi"/>
                <w:sz w:val="20"/>
                <w:szCs w:val="20"/>
              </w:rPr>
            </w:pPr>
            <w:r w:rsidRPr="000115A2">
              <w:rPr>
                <w:rFonts w:asciiTheme="minorHAnsi" w:hAnsiTheme="minorHAnsi"/>
                <w:sz w:val="20"/>
                <w:szCs w:val="20"/>
              </w:rPr>
              <w:t>Occupation rate buses</w:t>
            </w:r>
          </w:p>
        </w:tc>
        <w:tc>
          <w:tcPr>
            <w:tcW w:w="1559" w:type="dxa"/>
            <w:vAlign w:val="center"/>
          </w:tcPr>
          <w:p w:rsidR="00D0623E" w:rsidRPr="000115A2" w:rsidRDefault="00301333" w:rsidP="000115A2">
            <w:pPr>
              <w:pStyle w:val="NoSpacing"/>
              <w:jc w:val="center"/>
              <w:rPr>
                <w:rFonts w:asciiTheme="minorHAnsi" w:hAnsiTheme="minorHAnsi"/>
                <w:sz w:val="20"/>
                <w:szCs w:val="20"/>
              </w:rPr>
            </w:pPr>
            <w:r w:rsidRPr="000115A2">
              <w:rPr>
                <w:rFonts w:asciiTheme="minorHAnsi" w:hAnsiTheme="minorHAnsi"/>
                <w:sz w:val="20"/>
                <w:szCs w:val="20"/>
              </w:rPr>
              <w:t>32</w:t>
            </w:r>
            <w:r w:rsidR="00D0623E" w:rsidRPr="000115A2">
              <w:rPr>
                <w:rFonts w:asciiTheme="minorHAnsi" w:hAnsiTheme="minorHAnsi"/>
                <w:sz w:val="20"/>
                <w:szCs w:val="20"/>
              </w:rPr>
              <w:t xml:space="preserve"> passengers</w:t>
            </w:r>
          </w:p>
        </w:tc>
        <w:tc>
          <w:tcPr>
            <w:tcW w:w="2126" w:type="dxa"/>
            <w:vAlign w:val="center"/>
          </w:tcPr>
          <w:p w:rsidR="00D0623E" w:rsidRPr="000115A2" w:rsidRDefault="00C14C7F" w:rsidP="000115A2">
            <w:pPr>
              <w:pStyle w:val="NoSpacing"/>
              <w:jc w:val="center"/>
              <w:rPr>
                <w:rFonts w:asciiTheme="minorHAnsi" w:hAnsiTheme="minorHAnsi"/>
                <w:sz w:val="20"/>
                <w:szCs w:val="20"/>
              </w:rPr>
            </w:pPr>
            <w:r>
              <w:rPr>
                <w:rFonts w:asciiTheme="minorHAnsi" w:hAnsiTheme="minorHAnsi"/>
                <w:sz w:val="20"/>
                <w:szCs w:val="20"/>
              </w:rPr>
              <w:t>Grütter</w:t>
            </w:r>
            <w:r w:rsidR="00301333" w:rsidRPr="000115A2">
              <w:rPr>
                <w:rFonts w:asciiTheme="minorHAnsi" w:hAnsiTheme="minorHAnsi"/>
                <w:sz w:val="20"/>
                <w:szCs w:val="20"/>
              </w:rPr>
              <w:t xml:space="preserve"> Consulting, 2016a based on a survey of inter-urban buses, Bangladesh</w:t>
            </w:r>
          </w:p>
        </w:tc>
        <w:tc>
          <w:tcPr>
            <w:tcW w:w="2632" w:type="dxa"/>
            <w:vAlign w:val="center"/>
          </w:tcPr>
          <w:p w:rsidR="00D0623E" w:rsidRPr="000115A2" w:rsidRDefault="00301333" w:rsidP="000115A2">
            <w:pPr>
              <w:pStyle w:val="NoSpacing"/>
              <w:jc w:val="center"/>
              <w:rPr>
                <w:rFonts w:asciiTheme="minorHAnsi" w:hAnsiTheme="minorHAnsi"/>
                <w:sz w:val="20"/>
                <w:szCs w:val="20"/>
              </w:rPr>
            </w:pPr>
            <w:r w:rsidRPr="000115A2">
              <w:rPr>
                <w:rFonts w:asciiTheme="minorHAnsi" w:hAnsiTheme="minorHAnsi"/>
                <w:sz w:val="20"/>
                <w:szCs w:val="20"/>
              </w:rPr>
              <w:t>Average occupation rate of 80% with 40 passenger average capacity</w:t>
            </w:r>
          </w:p>
        </w:tc>
      </w:tr>
      <w:tr w:rsidR="000115A2" w:rsidRPr="00BB10C8" w:rsidTr="000115A2">
        <w:tc>
          <w:tcPr>
            <w:tcW w:w="1117" w:type="dxa"/>
            <w:vAlign w:val="center"/>
          </w:tcPr>
          <w:p w:rsidR="00301333" w:rsidRPr="000115A2" w:rsidRDefault="00301333" w:rsidP="000115A2">
            <w:pPr>
              <w:pStyle w:val="NoSpacing"/>
              <w:jc w:val="center"/>
              <w:rPr>
                <w:rFonts w:asciiTheme="minorHAnsi" w:hAnsiTheme="minorHAnsi"/>
                <w:sz w:val="20"/>
                <w:szCs w:val="20"/>
              </w:rPr>
            </w:pPr>
            <w:r w:rsidRPr="000115A2">
              <w:rPr>
                <w:rFonts w:asciiTheme="minorHAnsi" w:hAnsiTheme="minorHAnsi"/>
                <w:sz w:val="20"/>
                <w:szCs w:val="20"/>
              </w:rPr>
              <w:t>SFC</w:t>
            </w:r>
            <w:r w:rsidRPr="000115A2">
              <w:rPr>
                <w:rFonts w:asciiTheme="minorHAnsi" w:hAnsiTheme="minorHAnsi"/>
                <w:sz w:val="20"/>
                <w:szCs w:val="20"/>
                <w:vertAlign w:val="subscript"/>
              </w:rPr>
              <w:t>T</w:t>
            </w:r>
          </w:p>
        </w:tc>
        <w:tc>
          <w:tcPr>
            <w:tcW w:w="1562" w:type="dxa"/>
            <w:vAlign w:val="center"/>
          </w:tcPr>
          <w:p w:rsidR="00301333" w:rsidRPr="000115A2" w:rsidRDefault="00301333" w:rsidP="000115A2">
            <w:pPr>
              <w:pStyle w:val="NoSpacing"/>
              <w:jc w:val="center"/>
              <w:rPr>
                <w:rFonts w:asciiTheme="minorHAnsi" w:hAnsiTheme="minorHAnsi"/>
                <w:sz w:val="20"/>
                <w:szCs w:val="20"/>
              </w:rPr>
            </w:pPr>
            <w:r w:rsidRPr="000115A2">
              <w:rPr>
                <w:rFonts w:asciiTheme="minorHAnsi" w:hAnsiTheme="minorHAnsi"/>
                <w:sz w:val="20"/>
                <w:szCs w:val="20"/>
              </w:rPr>
              <w:t>Specific fuel consumption trucks</w:t>
            </w:r>
          </w:p>
        </w:tc>
        <w:tc>
          <w:tcPr>
            <w:tcW w:w="1559" w:type="dxa"/>
            <w:vAlign w:val="center"/>
          </w:tcPr>
          <w:p w:rsidR="00301333" w:rsidRPr="000115A2" w:rsidRDefault="00301333" w:rsidP="000115A2">
            <w:pPr>
              <w:pStyle w:val="NoSpacing"/>
              <w:jc w:val="center"/>
              <w:rPr>
                <w:rFonts w:asciiTheme="minorHAnsi" w:hAnsiTheme="minorHAnsi"/>
                <w:sz w:val="20"/>
                <w:szCs w:val="20"/>
              </w:rPr>
            </w:pPr>
            <w:r w:rsidRPr="000115A2">
              <w:rPr>
                <w:rFonts w:asciiTheme="minorHAnsi" w:hAnsiTheme="minorHAnsi"/>
                <w:sz w:val="20"/>
                <w:szCs w:val="20"/>
              </w:rPr>
              <w:t>37 l/100km</w:t>
            </w:r>
          </w:p>
        </w:tc>
        <w:tc>
          <w:tcPr>
            <w:tcW w:w="2126" w:type="dxa"/>
            <w:vAlign w:val="center"/>
          </w:tcPr>
          <w:p w:rsidR="00301333" w:rsidRPr="000115A2" w:rsidRDefault="00C14C7F" w:rsidP="000115A2">
            <w:pPr>
              <w:pStyle w:val="NoSpacing"/>
              <w:jc w:val="center"/>
              <w:rPr>
                <w:rFonts w:asciiTheme="minorHAnsi" w:hAnsiTheme="minorHAnsi"/>
                <w:sz w:val="20"/>
                <w:szCs w:val="20"/>
              </w:rPr>
            </w:pPr>
            <w:r>
              <w:rPr>
                <w:rFonts w:asciiTheme="minorHAnsi" w:hAnsiTheme="minorHAnsi"/>
                <w:sz w:val="20"/>
                <w:szCs w:val="20"/>
              </w:rPr>
              <w:t>Grütter</w:t>
            </w:r>
            <w:r w:rsidR="00301333" w:rsidRPr="000115A2">
              <w:rPr>
                <w:rFonts w:asciiTheme="minorHAnsi" w:hAnsiTheme="minorHAnsi"/>
                <w:sz w:val="20"/>
                <w:szCs w:val="20"/>
              </w:rPr>
              <w:t xml:space="preserve"> Consulting, 2016b based on survey of long-haul trucks, Bangladesh</w:t>
            </w:r>
          </w:p>
        </w:tc>
        <w:tc>
          <w:tcPr>
            <w:tcW w:w="2632" w:type="dxa"/>
            <w:vAlign w:val="center"/>
          </w:tcPr>
          <w:p w:rsidR="00301333" w:rsidRPr="000115A2" w:rsidRDefault="000115A2" w:rsidP="000115A2">
            <w:pPr>
              <w:pStyle w:val="NoSpacing"/>
              <w:jc w:val="center"/>
              <w:rPr>
                <w:rFonts w:asciiTheme="minorHAnsi" w:hAnsiTheme="minorHAnsi"/>
                <w:sz w:val="20"/>
                <w:szCs w:val="20"/>
              </w:rPr>
            </w:pPr>
            <w:r>
              <w:rPr>
                <w:rFonts w:asciiTheme="minorHAnsi" w:hAnsiTheme="minorHAnsi"/>
                <w:sz w:val="20"/>
                <w:szCs w:val="20"/>
              </w:rPr>
              <w:t>M</w:t>
            </w:r>
            <w:r w:rsidR="003B180C" w:rsidRPr="000115A2">
              <w:rPr>
                <w:rFonts w:asciiTheme="minorHAnsi" w:hAnsiTheme="minorHAnsi"/>
                <w:sz w:val="20"/>
                <w:szCs w:val="20"/>
              </w:rPr>
              <w:t>edian speed of 31 km/h</w:t>
            </w:r>
            <w:r w:rsidR="003B180C" w:rsidRPr="000115A2">
              <w:rPr>
                <w:rStyle w:val="FootnoteReference"/>
                <w:rFonts w:asciiTheme="minorHAnsi" w:hAnsiTheme="minorHAnsi"/>
                <w:sz w:val="20"/>
                <w:szCs w:val="20"/>
              </w:rPr>
              <w:footnoteReference w:id="36"/>
            </w:r>
            <w:r w:rsidR="003B180C" w:rsidRPr="000115A2">
              <w:rPr>
                <w:rFonts w:asciiTheme="minorHAnsi" w:hAnsiTheme="minorHAnsi"/>
                <w:sz w:val="20"/>
                <w:szCs w:val="20"/>
              </w:rPr>
              <w:t xml:space="preserve">. COPERT rigid trucks 14-18t conventional, 0% gradient, 100% load, speed 31km/h </w:t>
            </w:r>
            <w:r>
              <w:rPr>
                <w:rFonts w:asciiTheme="minorHAnsi" w:hAnsiTheme="minorHAnsi"/>
                <w:sz w:val="20"/>
                <w:szCs w:val="20"/>
              </w:rPr>
              <w:t>has</w:t>
            </w:r>
            <w:r w:rsidR="003B180C" w:rsidRPr="000115A2">
              <w:rPr>
                <w:rFonts w:asciiTheme="minorHAnsi" w:hAnsiTheme="minorHAnsi"/>
                <w:sz w:val="20"/>
                <w:szCs w:val="20"/>
              </w:rPr>
              <w:t xml:space="preserve"> </w:t>
            </w:r>
            <w:r>
              <w:rPr>
                <w:rFonts w:asciiTheme="minorHAnsi" w:hAnsiTheme="minorHAnsi"/>
                <w:sz w:val="20"/>
                <w:szCs w:val="20"/>
              </w:rPr>
              <w:t xml:space="preserve">a </w:t>
            </w:r>
            <w:r w:rsidR="003B180C" w:rsidRPr="000115A2">
              <w:rPr>
                <w:rFonts w:asciiTheme="minorHAnsi" w:hAnsiTheme="minorHAnsi"/>
                <w:sz w:val="20"/>
                <w:szCs w:val="20"/>
              </w:rPr>
              <w:t>SFC of 37 l/100km</w:t>
            </w:r>
            <w:r w:rsidR="003B180C" w:rsidRPr="000115A2">
              <w:rPr>
                <w:rStyle w:val="FootnoteReference"/>
                <w:rFonts w:asciiTheme="minorHAnsi" w:hAnsiTheme="minorHAnsi"/>
                <w:sz w:val="20"/>
                <w:szCs w:val="20"/>
              </w:rPr>
              <w:footnoteReference w:id="37"/>
            </w:r>
          </w:p>
        </w:tc>
      </w:tr>
      <w:tr w:rsidR="000115A2" w:rsidRPr="00BB10C8" w:rsidTr="000115A2">
        <w:tc>
          <w:tcPr>
            <w:tcW w:w="1117" w:type="dxa"/>
            <w:vAlign w:val="center"/>
          </w:tcPr>
          <w:p w:rsidR="00301333" w:rsidRPr="000115A2" w:rsidRDefault="00301333" w:rsidP="000115A2">
            <w:pPr>
              <w:pStyle w:val="NoSpacing"/>
              <w:jc w:val="center"/>
              <w:rPr>
                <w:rFonts w:asciiTheme="minorHAnsi" w:hAnsiTheme="minorHAnsi"/>
                <w:sz w:val="20"/>
                <w:szCs w:val="20"/>
              </w:rPr>
            </w:pPr>
            <w:r w:rsidRPr="000115A2">
              <w:rPr>
                <w:rFonts w:asciiTheme="minorHAnsi" w:hAnsiTheme="minorHAnsi"/>
                <w:sz w:val="20"/>
                <w:szCs w:val="20"/>
              </w:rPr>
              <w:t>LF</w:t>
            </w:r>
            <w:r w:rsidRPr="000115A2">
              <w:rPr>
                <w:rFonts w:asciiTheme="minorHAnsi" w:hAnsiTheme="minorHAnsi"/>
                <w:sz w:val="20"/>
                <w:szCs w:val="20"/>
                <w:vertAlign w:val="subscript"/>
              </w:rPr>
              <w:t>T</w:t>
            </w:r>
          </w:p>
        </w:tc>
        <w:tc>
          <w:tcPr>
            <w:tcW w:w="1562" w:type="dxa"/>
            <w:vAlign w:val="center"/>
          </w:tcPr>
          <w:p w:rsidR="00301333" w:rsidRPr="000115A2" w:rsidRDefault="00301333" w:rsidP="000115A2">
            <w:pPr>
              <w:pStyle w:val="NoSpacing"/>
              <w:jc w:val="center"/>
              <w:rPr>
                <w:rFonts w:asciiTheme="minorHAnsi" w:hAnsiTheme="minorHAnsi"/>
                <w:sz w:val="20"/>
                <w:szCs w:val="20"/>
              </w:rPr>
            </w:pPr>
            <w:r w:rsidRPr="000115A2">
              <w:rPr>
                <w:rFonts w:asciiTheme="minorHAnsi" w:hAnsiTheme="minorHAnsi"/>
                <w:sz w:val="20"/>
                <w:szCs w:val="20"/>
              </w:rPr>
              <w:t>Load factor trucks</w:t>
            </w:r>
          </w:p>
        </w:tc>
        <w:tc>
          <w:tcPr>
            <w:tcW w:w="1559" w:type="dxa"/>
            <w:vAlign w:val="center"/>
          </w:tcPr>
          <w:p w:rsidR="00301333" w:rsidRPr="000115A2" w:rsidRDefault="003B180C" w:rsidP="000115A2">
            <w:pPr>
              <w:pStyle w:val="NoSpacing"/>
              <w:jc w:val="center"/>
              <w:rPr>
                <w:rFonts w:asciiTheme="minorHAnsi" w:hAnsiTheme="minorHAnsi"/>
                <w:sz w:val="20"/>
                <w:szCs w:val="20"/>
                <w:lang w:val="de-DE"/>
              </w:rPr>
            </w:pPr>
            <w:r w:rsidRPr="000115A2">
              <w:rPr>
                <w:rFonts w:asciiTheme="minorHAnsi" w:hAnsiTheme="minorHAnsi"/>
                <w:sz w:val="20"/>
                <w:szCs w:val="20"/>
                <w:lang w:val="de-DE"/>
              </w:rPr>
              <w:t>8.3</w:t>
            </w:r>
            <w:r w:rsidR="00301333" w:rsidRPr="000115A2">
              <w:rPr>
                <w:rFonts w:asciiTheme="minorHAnsi" w:hAnsiTheme="minorHAnsi"/>
                <w:sz w:val="20"/>
                <w:szCs w:val="20"/>
                <w:lang w:val="de-DE"/>
              </w:rPr>
              <w:t>t</w:t>
            </w:r>
          </w:p>
        </w:tc>
        <w:tc>
          <w:tcPr>
            <w:tcW w:w="2126" w:type="dxa"/>
            <w:vAlign w:val="center"/>
          </w:tcPr>
          <w:p w:rsidR="00301333" w:rsidRPr="000115A2" w:rsidRDefault="00C14C7F" w:rsidP="000115A2">
            <w:pPr>
              <w:pStyle w:val="NoSpacing"/>
              <w:jc w:val="center"/>
              <w:rPr>
                <w:rFonts w:asciiTheme="minorHAnsi" w:hAnsiTheme="minorHAnsi"/>
                <w:sz w:val="20"/>
                <w:szCs w:val="20"/>
              </w:rPr>
            </w:pPr>
            <w:r>
              <w:rPr>
                <w:rFonts w:asciiTheme="minorHAnsi" w:hAnsiTheme="minorHAnsi"/>
                <w:sz w:val="20"/>
                <w:szCs w:val="20"/>
              </w:rPr>
              <w:t>Grütter</w:t>
            </w:r>
            <w:r w:rsidR="003B180C" w:rsidRPr="000115A2">
              <w:rPr>
                <w:rFonts w:asciiTheme="minorHAnsi" w:hAnsiTheme="minorHAnsi"/>
                <w:sz w:val="20"/>
                <w:szCs w:val="20"/>
              </w:rPr>
              <w:t xml:space="preserve"> Consulting, 2016b based on survey of long-haul trucks, Bangladesh</w:t>
            </w:r>
          </w:p>
        </w:tc>
        <w:tc>
          <w:tcPr>
            <w:tcW w:w="2632" w:type="dxa"/>
            <w:vAlign w:val="center"/>
          </w:tcPr>
          <w:p w:rsidR="00301333" w:rsidRPr="000115A2" w:rsidRDefault="003B180C" w:rsidP="000115A2">
            <w:pPr>
              <w:pStyle w:val="NoSpacing"/>
              <w:jc w:val="center"/>
              <w:rPr>
                <w:rFonts w:asciiTheme="minorHAnsi" w:hAnsiTheme="minorHAnsi"/>
                <w:sz w:val="20"/>
                <w:szCs w:val="20"/>
              </w:rPr>
            </w:pPr>
            <w:r w:rsidRPr="000115A2">
              <w:rPr>
                <w:rFonts w:asciiTheme="minorHAnsi" w:hAnsiTheme="minorHAnsi"/>
                <w:sz w:val="20"/>
                <w:szCs w:val="20"/>
              </w:rPr>
              <w:t>Average capacity utilization of 82% and average maximum payload capacity of 10 tons. The large majority of trucks are 2-axle.</w:t>
            </w:r>
          </w:p>
        </w:tc>
      </w:tr>
      <w:tr w:rsidR="000115A2" w:rsidRPr="00BB10C8" w:rsidTr="000115A2">
        <w:tc>
          <w:tcPr>
            <w:tcW w:w="1117" w:type="dxa"/>
            <w:vAlign w:val="center"/>
          </w:tcPr>
          <w:p w:rsidR="003B180C" w:rsidRPr="000115A2" w:rsidRDefault="003B180C" w:rsidP="000115A2">
            <w:pPr>
              <w:pStyle w:val="NoSpacing"/>
              <w:jc w:val="center"/>
              <w:rPr>
                <w:rFonts w:asciiTheme="minorHAnsi" w:hAnsiTheme="minorHAnsi"/>
                <w:sz w:val="20"/>
                <w:szCs w:val="20"/>
              </w:rPr>
            </w:pPr>
            <w:r w:rsidRPr="000115A2">
              <w:rPr>
                <w:rFonts w:asciiTheme="minorHAnsi" w:hAnsiTheme="minorHAnsi"/>
                <w:sz w:val="20"/>
                <w:szCs w:val="20"/>
              </w:rPr>
              <w:t>WWT</w:t>
            </w:r>
            <w:r w:rsidRPr="000115A2">
              <w:rPr>
                <w:rFonts w:asciiTheme="minorHAnsi" w:hAnsiTheme="minorHAnsi"/>
                <w:sz w:val="20"/>
                <w:szCs w:val="20"/>
                <w:vertAlign w:val="subscript"/>
              </w:rPr>
              <w:t>D</w:t>
            </w:r>
          </w:p>
        </w:tc>
        <w:tc>
          <w:tcPr>
            <w:tcW w:w="1562" w:type="dxa"/>
            <w:vAlign w:val="center"/>
          </w:tcPr>
          <w:p w:rsidR="003B180C" w:rsidRPr="000115A2" w:rsidRDefault="003B180C" w:rsidP="000115A2">
            <w:pPr>
              <w:pStyle w:val="NoSpacing"/>
              <w:jc w:val="center"/>
              <w:rPr>
                <w:rFonts w:asciiTheme="minorHAnsi" w:hAnsiTheme="minorHAnsi"/>
                <w:sz w:val="20"/>
                <w:szCs w:val="20"/>
                <w:lang w:val="en-US"/>
              </w:rPr>
            </w:pPr>
            <w:r w:rsidRPr="000115A2">
              <w:rPr>
                <w:rFonts w:asciiTheme="minorHAnsi" w:hAnsiTheme="minorHAnsi"/>
                <w:sz w:val="20"/>
                <w:szCs w:val="20"/>
                <w:lang w:val="en-US"/>
              </w:rPr>
              <w:t>Well-to-tank mark-up factor diesel</w:t>
            </w:r>
          </w:p>
        </w:tc>
        <w:tc>
          <w:tcPr>
            <w:tcW w:w="1559" w:type="dxa"/>
            <w:vAlign w:val="center"/>
          </w:tcPr>
          <w:p w:rsidR="003B180C" w:rsidRPr="000115A2" w:rsidRDefault="003B180C" w:rsidP="000115A2">
            <w:pPr>
              <w:pStyle w:val="NoSpacing"/>
              <w:jc w:val="center"/>
              <w:rPr>
                <w:rFonts w:asciiTheme="minorHAnsi" w:hAnsiTheme="minorHAnsi"/>
                <w:sz w:val="20"/>
                <w:szCs w:val="20"/>
                <w:lang w:val="en-US"/>
              </w:rPr>
            </w:pPr>
            <w:r w:rsidRPr="000115A2">
              <w:rPr>
                <w:rFonts w:asciiTheme="minorHAnsi" w:hAnsiTheme="minorHAnsi"/>
                <w:sz w:val="20"/>
                <w:szCs w:val="20"/>
                <w:lang w:val="en-US"/>
              </w:rPr>
              <w:t>25%</w:t>
            </w:r>
          </w:p>
        </w:tc>
        <w:tc>
          <w:tcPr>
            <w:tcW w:w="2126" w:type="dxa"/>
            <w:vAlign w:val="center"/>
          </w:tcPr>
          <w:p w:rsidR="003B180C" w:rsidRPr="000115A2" w:rsidRDefault="00B63622" w:rsidP="000115A2">
            <w:pPr>
              <w:pStyle w:val="NoSpacing"/>
              <w:jc w:val="center"/>
              <w:rPr>
                <w:rFonts w:asciiTheme="minorHAnsi" w:hAnsiTheme="minorHAnsi"/>
                <w:sz w:val="20"/>
                <w:szCs w:val="20"/>
                <w:lang w:val="en-US"/>
              </w:rPr>
            </w:pPr>
            <w:r w:rsidRPr="000115A2">
              <w:rPr>
                <w:rFonts w:asciiTheme="minorHAnsi" w:hAnsiTheme="minorHAnsi"/>
                <w:sz w:val="20"/>
                <w:szCs w:val="20"/>
                <w:lang w:val="en-US"/>
              </w:rPr>
              <w:t xml:space="preserve">JRC (2011) </w:t>
            </w:r>
            <w:r w:rsidR="003B180C" w:rsidRPr="000115A2">
              <w:rPr>
                <w:rFonts w:asciiTheme="minorHAnsi" w:hAnsiTheme="minorHAnsi"/>
                <w:sz w:val="20"/>
                <w:szCs w:val="20"/>
                <w:lang w:val="en-US"/>
              </w:rPr>
              <w:t xml:space="preserve">22%, CEC </w:t>
            </w:r>
            <w:r w:rsidRPr="000115A2">
              <w:rPr>
                <w:rFonts w:asciiTheme="minorHAnsi" w:hAnsiTheme="minorHAnsi"/>
                <w:sz w:val="20"/>
                <w:szCs w:val="20"/>
                <w:lang w:val="en-US"/>
              </w:rPr>
              <w:t xml:space="preserve">(2007) </w:t>
            </w:r>
            <w:r w:rsidR="003B180C" w:rsidRPr="000115A2">
              <w:rPr>
                <w:rFonts w:asciiTheme="minorHAnsi" w:hAnsiTheme="minorHAnsi"/>
                <w:sz w:val="20"/>
                <w:szCs w:val="20"/>
                <w:lang w:val="en-US"/>
              </w:rPr>
              <w:t xml:space="preserve">23%, US DOE GREET </w:t>
            </w:r>
            <w:r w:rsidRPr="000115A2">
              <w:rPr>
                <w:rFonts w:asciiTheme="minorHAnsi" w:hAnsiTheme="minorHAnsi"/>
                <w:sz w:val="20"/>
                <w:szCs w:val="20"/>
                <w:lang w:val="en-US"/>
              </w:rPr>
              <w:t xml:space="preserve">(2012) 25%, </w:t>
            </w:r>
            <w:r w:rsidRPr="000115A2">
              <w:rPr>
                <w:rFonts w:asciiTheme="minorHAnsi" w:hAnsiTheme="minorHAnsi"/>
                <w:sz w:val="20"/>
                <w:szCs w:val="20"/>
                <w:lang w:val="en-US"/>
              </w:rPr>
              <w:lastRenderedPageBreak/>
              <w:t>NRC GHGenius (2013) 29%</w:t>
            </w:r>
          </w:p>
        </w:tc>
        <w:tc>
          <w:tcPr>
            <w:tcW w:w="2632" w:type="dxa"/>
            <w:vAlign w:val="center"/>
          </w:tcPr>
          <w:p w:rsidR="003B180C" w:rsidRPr="000115A2" w:rsidRDefault="00B63622" w:rsidP="000115A2">
            <w:pPr>
              <w:pStyle w:val="NoSpacing"/>
              <w:jc w:val="center"/>
              <w:rPr>
                <w:rFonts w:asciiTheme="minorHAnsi" w:hAnsiTheme="minorHAnsi"/>
                <w:sz w:val="20"/>
                <w:szCs w:val="20"/>
                <w:lang w:val="en-US"/>
              </w:rPr>
            </w:pPr>
            <w:r w:rsidRPr="000115A2">
              <w:rPr>
                <w:rFonts w:asciiTheme="minorHAnsi" w:hAnsiTheme="minorHAnsi"/>
                <w:sz w:val="20"/>
                <w:szCs w:val="20"/>
                <w:lang w:val="en-US"/>
              </w:rPr>
              <w:lastRenderedPageBreak/>
              <w:t>Average value of different sources</w:t>
            </w:r>
          </w:p>
        </w:tc>
      </w:tr>
      <w:tr w:rsidR="000115A2" w:rsidRPr="00B63622" w:rsidTr="000115A2">
        <w:tc>
          <w:tcPr>
            <w:tcW w:w="1117" w:type="dxa"/>
            <w:vAlign w:val="center"/>
          </w:tcPr>
          <w:p w:rsidR="003B180C" w:rsidRPr="000115A2" w:rsidRDefault="00B63622" w:rsidP="000115A2">
            <w:pPr>
              <w:pStyle w:val="NoSpacing"/>
              <w:jc w:val="center"/>
              <w:rPr>
                <w:rFonts w:asciiTheme="minorHAnsi" w:hAnsiTheme="minorHAnsi"/>
                <w:sz w:val="20"/>
                <w:szCs w:val="20"/>
              </w:rPr>
            </w:pPr>
            <w:r w:rsidRPr="000115A2">
              <w:rPr>
                <w:rFonts w:asciiTheme="minorHAnsi" w:hAnsiTheme="minorHAnsi"/>
                <w:sz w:val="20"/>
                <w:szCs w:val="20"/>
              </w:rPr>
              <w:t>EF</w:t>
            </w:r>
            <w:r w:rsidRPr="000115A2">
              <w:rPr>
                <w:rFonts w:asciiTheme="minorHAnsi" w:hAnsiTheme="minorHAnsi"/>
                <w:sz w:val="20"/>
                <w:szCs w:val="20"/>
                <w:vertAlign w:val="subscript"/>
              </w:rPr>
              <w:t>PM,B</w:t>
            </w:r>
          </w:p>
        </w:tc>
        <w:tc>
          <w:tcPr>
            <w:tcW w:w="1562" w:type="dxa"/>
            <w:vAlign w:val="center"/>
          </w:tcPr>
          <w:p w:rsidR="003B180C" w:rsidRPr="000115A2" w:rsidRDefault="00B63622" w:rsidP="000115A2">
            <w:pPr>
              <w:pStyle w:val="NoSpacing"/>
              <w:jc w:val="center"/>
              <w:rPr>
                <w:rFonts w:asciiTheme="minorHAnsi" w:hAnsiTheme="minorHAnsi"/>
                <w:sz w:val="20"/>
                <w:szCs w:val="20"/>
                <w:lang w:val="de-DE"/>
              </w:rPr>
            </w:pPr>
            <w:r w:rsidRPr="000115A2">
              <w:rPr>
                <w:rFonts w:asciiTheme="minorHAnsi" w:hAnsiTheme="minorHAnsi"/>
                <w:sz w:val="20"/>
                <w:szCs w:val="20"/>
                <w:lang w:val="de-DE"/>
              </w:rPr>
              <w:t>PM 2.5 emission factor diesel coach Euro I</w:t>
            </w:r>
          </w:p>
        </w:tc>
        <w:tc>
          <w:tcPr>
            <w:tcW w:w="1559" w:type="dxa"/>
            <w:vAlign w:val="center"/>
          </w:tcPr>
          <w:p w:rsidR="003B180C" w:rsidRPr="000115A2" w:rsidRDefault="00B63622" w:rsidP="000115A2">
            <w:pPr>
              <w:pStyle w:val="NoSpacing"/>
              <w:jc w:val="center"/>
              <w:rPr>
                <w:rFonts w:asciiTheme="minorHAnsi" w:hAnsiTheme="minorHAnsi"/>
                <w:sz w:val="20"/>
                <w:szCs w:val="20"/>
                <w:lang w:val="de-DE"/>
              </w:rPr>
            </w:pPr>
            <w:r w:rsidRPr="000115A2">
              <w:rPr>
                <w:rFonts w:asciiTheme="minorHAnsi" w:hAnsiTheme="minorHAnsi"/>
                <w:sz w:val="20"/>
                <w:szCs w:val="20"/>
                <w:lang w:val="de-DE"/>
              </w:rPr>
              <w:t>0.362 g/km</w:t>
            </w:r>
          </w:p>
        </w:tc>
        <w:tc>
          <w:tcPr>
            <w:tcW w:w="2126" w:type="dxa"/>
            <w:vAlign w:val="center"/>
          </w:tcPr>
          <w:p w:rsidR="003B180C" w:rsidRPr="000115A2" w:rsidRDefault="00B63622" w:rsidP="000115A2">
            <w:pPr>
              <w:pStyle w:val="NoSpacing"/>
              <w:jc w:val="center"/>
              <w:rPr>
                <w:rFonts w:asciiTheme="minorHAnsi" w:hAnsiTheme="minorHAnsi"/>
                <w:sz w:val="20"/>
                <w:szCs w:val="20"/>
                <w:lang w:val="de-DE"/>
              </w:rPr>
            </w:pPr>
            <w:r w:rsidRPr="000115A2">
              <w:rPr>
                <w:rFonts w:asciiTheme="minorHAnsi" w:hAnsiTheme="minorHAnsi"/>
                <w:sz w:val="20"/>
                <w:szCs w:val="20"/>
                <w:lang w:val="de-DE"/>
              </w:rPr>
              <w:t>COPERT, table 3-23, Tier 2 appoach</w:t>
            </w:r>
            <w:r w:rsidRPr="000115A2">
              <w:rPr>
                <w:rStyle w:val="FootnoteReference"/>
                <w:rFonts w:asciiTheme="minorHAnsi" w:hAnsiTheme="minorHAnsi"/>
                <w:sz w:val="20"/>
                <w:szCs w:val="20"/>
                <w:lang w:val="de-DE"/>
              </w:rPr>
              <w:footnoteReference w:id="38"/>
            </w:r>
          </w:p>
        </w:tc>
        <w:tc>
          <w:tcPr>
            <w:tcW w:w="2632" w:type="dxa"/>
            <w:vAlign w:val="center"/>
          </w:tcPr>
          <w:p w:rsidR="003B180C" w:rsidRPr="000115A2" w:rsidRDefault="00B63622" w:rsidP="000115A2">
            <w:pPr>
              <w:pStyle w:val="NoSpacing"/>
              <w:jc w:val="center"/>
              <w:rPr>
                <w:rFonts w:asciiTheme="minorHAnsi" w:hAnsiTheme="minorHAnsi"/>
                <w:sz w:val="20"/>
                <w:szCs w:val="20"/>
              </w:rPr>
            </w:pPr>
            <w:r w:rsidRPr="000115A2">
              <w:rPr>
                <w:rFonts w:asciiTheme="minorHAnsi" w:hAnsiTheme="minorHAnsi"/>
                <w:sz w:val="20"/>
                <w:szCs w:val="20"/>
              </w:rPr>
              <w:t>Based on average Euro I model</w:t>
            </w:r>
          </w:p>
        </w:tc>
      </w:tr>
      <w:tr w:rsidR="000115A2" w:rsidRPr="00B63622" w:rsidTr="000115A2">
        <w:tc>
          <w:tcPr>
            <w:tcW w:w="1117" w:type="dxa"/>
            <w:vAlign w:val="center"/>
          </w:tcPr>
          <w:p w:rsidR="00B63622" w:rsidRPr="000115A2" w:rsidRDefault="00B63622" w:rsidP="000115A2">
            <w:pPr>
              <w:pStyle w:val="NoSpacing"/>
              <w:jc w:val="center"/>
              <w:rPr>
                <w:rFonts w:asciiTheme="minorHAnsi" w:hAnsiTheme="minorHAnsi"/>
                <w:sz w:val="20"/>
                <w:szCs w:val="20"/>
              </w:rPr>
            </w:pPr>
            <w:r w:rsidRPr="000115A2">
              <w:rPr>
                <w:rFonts w:asciiTheme="minorHAnsi" w:hAnsiTheme="minorHAnsi"/>
                <w:sz w:val="20"/>
                <w:szCs w:val="20"/>
              </w:rPr>
              <w:t>EF</w:t>
            </w:r>
            <w:r w:rsidRPr="000115A2">
              <w:rPr>
                <w:rFonts w:asciiTheme="minorHAnsi" w:hAnsiTheme="minorHAnsi"/>
                <w:sz w:val="20"/>
                <w:szCs w:val="20"/>
                <w:vertAlign w:val="subscript"/>
              </w:rPr>
              <w:t>PM,T</w:t>
            </w:r>
          </w:p>
        </w:tc>
        <w:tc>
          <w:tcPr>
            <w:tcW w:w="1562" w:type="dxa"/>
            <w:vAlign w:val="center"/>
          </w:tcPr>
          <w:p w:rsidR="00B63622" w:rsidRPr="000115A2" w:rsidRDefault="00B63622" w:rsidP="000115A2">
            <w:pPr>
              <w:pStyle w:val="NoSpacing"/>
              <w:jc w:val="center"/>
              <w:rPr>
                <w:rFonts w:asciiTheme="minorHAnsi" w:hAnsiTheme="minorHAnsi"/>
                <w:sz w:val="20"/>
                <w:szCs w:val="20"/>
                <w:lang w:val="de-DE"/>
              </w:rPr>
            </w:pPr>
            <w:r w:rsidRPr="000115A2">
              <w:rPr>
                <w:rFonts w:asciiTheme="minorHAnsi" w:hAnsiTheme="minorHAnsi"/>
                <w:sz w:val="20"/>
                <w:szCs w:val="20"/>
                <w:lang w:val="de-DE"/>
              </w:rPr>
              <w:t>PM 2.5 emission diesel HDV 7.5-16t Euro I</w:t>
            </w:r>
          </w:p>
        </w:tc>
        <w:tc>
          <w:tcPr>
            <w:tcW w:w="1559" w:type="dxa"/>
            <w:vAlign w:val="center"/>
          </w:tcPr>
          <w:p w:rsidR="00B63622" w:rsidRPr="000115A2" w:rsidRDefault="00B63622" w:rsidP="000115A2">
            <w:pPr>
              <w:pStyle w:val="NoSpacing"/>
              <w:jc w:val="center"/>
              <w:rPr>
                <w:rFonts w:asciiTheme="minorHAnsi" w:hAnsiTheme="minorHAnsi"/>
                <w:sz w:val="20"/>
                <w:szCs w:val="20"/>
                <w:lang w:val="de-DE"/>
              </w:rPr>
            </w:pPr>
            <w:r w:rsidRPr="000115A2">
              <w:rPr>
                <w:rFonts w:asciiTheme="minorHAnsi" w:hAnsiTheme="minorHAnsi"/>
                <w:sz w:val="20"/>
                <w:szCs w:val="20"/>
                <w:lang w:val="de-DE"/>
              </w:rPr>
              <w:t>0.201 g/km</w:t>
            </w:r>
          </w:p>
        </w:tc>
        <w:tc>
          <w:tcPr>
            <w:tcW w:w="2126" w:type="dxa"/>
            <w:vAlign w:val="center"/>
          </w:tcPr>
          <w:p w:rsidR="00B63622" w:rsidRPr="000115A2" w:rsidRDefault="00B63622" w:rsidP="000115A2">
            <w:pPr>
              <w:pStyle w:val="NoSpacing"/>
              <w:jc w:val="center"/>
              <w:rPr>
                <w:rFonts w:asciiTheme="minorHAnsi" w:hAnsiTheme="minorHAnsi"/>
                <w:sz w:val="20"/>
                <w:szCs w:val="20"/>
                <w:lang w:val="de-DE"/>
              </w:rPr>
            </w:pPr>
            <w:r w:rsidRPr="000115A2">
              <w:rPr>
                <w:rFonts w:asciiTheme="minorHAnsi" w:hAnsiTheme="minorHAnsi"/>
                <w:sz w:val="20"/>
                <w:szCs w:val="20"/>
                <w:lang w:val="de-DE"/>
              </w:rPr>
              <w:t>COPERT, table 3-21, Tier 2 appoach</w:t>
            </w:r>
            <w:r w:rsidRPr="000115A2">
              <w:rPr>
                <w:rStyle w:val="FootnoteReference"/>
                <w:rFonts w:asciiTheme="minorHAnsi" w:hAnsiTheme="minorHAnsi"/>
                <w:sz w:val="20"/>
                <w:szCs w:val="20"/>
                <w:lang w:val="de-DE"/>
              </w:rPr>
              <w:footnoteReference w:id="39"/>
            </w:r>
          </w:p>
        </w:tc>
        <w:tc>
          <w:tcPr>
            <w:tcW w:w="2632" w:type="dxa"/>
            <w:vAlign w:val="center"/>
          </w:tcPr>
          <w:p w:rsidR="00B63622" w:rsidRPr="000115A2" w:rsidRDefault="00B63622" w:rsidP="000115A2">
            <w:pPr>
              <w:pStyle w:val="NoSpacing"/>
              <w:jc w:val="center"/>
              <w:rPr>
                <w:rFonts w:asciiTheme="minorHAnsi" w:hAnsiTheme="minorHAnsi"/>
                <w:sz w:val="20"/>
                <w:szCs w:val="20"/>
              </w:rPr>
            </w:pPr>
            <w:r w:rsidRPr="000115A2">
              <w:rPr>
                <w:rFonts w:asciiTheme="minorHAnsi" w:hAnsiTheme="minorHAnsi"/>
                <w:sz w:val="20"/>
                <w:szCs w:val="20"/>
              </w:rPr>
              <w:t>Based on average Euro I model</w:t>
            </w:r>
          </w:p>
        </w:tc>
      </w:tr>
      <w:tr w:rsidR="000115A2" w:rsidRPr="00B63622" w:rsidTr="000115A2">
        <w:tc>
          <w:tcPr>
            <w:tcW w:w="1117" w:type="dxa"/>
            <w:vAlign w:val="center"/>
          </w:tcPr>
          <w:p w:rsidR="00B63622" w:rsidRPr="000115A2" w:rsidRDefault="00B63622" w:rsidP="000115A2">
            <w:pPr>
              <w:pStyle w:val="NoSpacing"/>
              <w:jc w:val="center"/>
              <w:rPr>
                <w:rFonts w:asciiTheme="minorHAnsi" w:hAnsiTheme="minorHAnsi"/>
                <w:sz w:val="20"/>
                <w:szCs w:val="20"/>
              </w:rPr>
            </w:pPr>
            <w:r w:rsidRPr="000115A2">
              <w:rPr>
                <w:rFonts w:asciiTheme="minorHAnsi" w:hAnsiTheme="minorHAnsi"/>
                <w:sz w:val="20"/>
                <w:szCs w:val="20"/>
              </w:rPr>
              <w:t>BCF</w:t>
            </w:r>
          </w:p>
        </w:tc>
        <w:tc>
          <w:tcPr>
            <w:tcW w:w="1562" w:type="dxa"/>
            <w:vAlign w:val="center"/>
          </w:tcPr>
          <w:p w:rsidR="00B63622" w:rsidRPr="000115A2" w:rsidRDefault="00B63622" w:rsidP="000115A2">
            <w:pPr>
              <w:pStyle w:val="NoSpacing"/>
              <w:jc w:val="center"/>
              <w:rPr>
                <w:rFonts w:asciiTheme="minorHAnsi" w:hAnsiTheme="minorHAnsi"/>
                <w:sz w:val="20"/>
                <w:szCs w:val="20"/>
              </w:rPr>
            </w:pPr>
            <w:r w:rsidRPr="000115A2">
              <w:rPr>
                <w:rFonts w:asciiTheme="minorHAnsi" w:hAnsiTheme="minorHAnsi"/>
                <w:sz w:val="20"/>
                <w:szCs w:val="20"/>
              </w:rPr>
              <w:t>BC fraction of PM 2.5 Euro I HDVs</w:t>
            </w:r>
          </w:p>
        </w:tc>
        <w:tc>
          <w:tcPr>
            <w:tcW w:w="1559" w:type="dxa"/>
            <w:vAlign w:val="center"/>
          </w:tcPr>
          <w:p w:rsidR="00B63622" w:rsidRPr="000115A2" w:rsidRDefault="00B63622" w:rsidP="000115A2">
            <w:pPr>
              <w:pStyle w:val="NoSpacing"/>
              <w:jc w:val="center"/>
              <w:rPr>
                <w:rFonts w:asciiTheme="minorHAnsi" w:hAnsiTheme="minorHAnsi"/>
                <w:sz w:val="20"/>
                <w:szCs w:val="20"/>
              </w:rPr>
            </w:pPr>
            <w:r w:rsidRPr="000115A2">
              <w:rPr>
                <w:rFonts w:asciiTheme="minorHAnsi" w:hAnsiTheme="minorHAnsi"/>
                <w:sz w:val="20"/>
                <w:szCs w:val="20"/>
              </w:rPr>
              <w:t>65%</w:t>
            </w:r>
          </w:p>
        </w:tc>
        <w:tc>
          <w:tcPr>
            <w:tcW w:w="2126" w:type="dxa"/>
            <w:vAlign w:val="center"/>
          </w:tcPr>
          <w:p w:rsidR="00B63622" w:rsidRPr="000115A2" w:rsidRDefault="00096CC4" w:rsidP="000115A2">
            <w:pPr>
              <w:pStyle w:val="NoSpacing"/>
              <w:jc w:val="center"/>
              <w:rPr>
                <w:rFonts w:asciiTheme="minorHAnsi" w:hAnsiTheme="minorHAnsi"/>
                <w:sz w:val="20"/>
                <w:szCs w:val="20"/>
              </w:rPr>
            </w:pPr>
            <w:r w:rsidRPr="000115A2">
              <w:rPr>
                <w:rFonts w:asciiTheme="minorHAnsi" w:hAnsiTheme="minorHAnsi"/>
                <w:sz w:val="20"/>
                <w:szCs w:val="20"/>
              </w:rPr>
              <w:t>COPERT; table A.4.0.2 Tier 3</w:t>
            </w:r>
            <w:r w:rsidRPr="000115A2">
              <w:rPr>
                <w:rStyle w:val="FootnoteReference"/>
                <w:rFonts w:asciiTheme="minorHAnsi" w:hAnsiTheme="minorHAnsi"/>
                <w:sz w:val="20"/>
                <w:szCs w:val="20"/>
              </w:rPr>
              <w:footnoteReference w:id="40"/>
            </w:r>
          </w:p>
        </w:tc>
        <w:tc>
          <w:tcPr>
            <w:tcW w:w="2632" w:type="dxa"/>
            <w:vAlign w:val="center"/>
          </w:tcPr>
          <w:p w:rsidR="00B63622" w:rsidRPr="000115A2" w:rsidRDefault="00B63622" w:rsidP="000115A2">
            <w:pPr>
              <w:pStyle w:val="NoSpacing"/>
              <w:jc w:val="center"/>
              <w:rPr>
                <w:rFonts w:asciiTheme="minorHAnsi" w:hAnsiTheme="minorHAnsi"/>
                <w:sz w:val="20"/>
                <w:szCs w:val="20"/>
              </w:rPr>
            </w:pPr>
          </w:p>
        </w:tc>
      </w:tr>
      <w:tr w:rsidR="000115A2" w:rsidRPr="00B63622" w:rsidTr="000115A2">
        <w:tc>
          <w:tcPr>
            <w:tcW w:w="1117" w:type="dxa"/>
            <w:vAlign w:val="center"/>
          </w:tcPr>
          <w:p w:rsidR="00B63622" w:rsidRPr="000115A2" w:rsidRDefault="00096CC4" w:rsidP="000115A2">
            <w:pPr>
              <w:pStyle w:val="NoSpacing"/>
              <w:jc w:val="center"/>
              <w:rPr>
                <w:rFonts w:asciiTheme="minorHAnsi" w:hAnsiTheme="minorHAnsi"/>
                <w:sz w:val="20"/>
                <w:szCs w:val="20"/>
              </w:rPr>
            </w:pPr>
            <w:r w:rsidRPr="000115A2">
              <w:rPr>
                <w:rFonts w:asciiTheme="minorHAnsi" w:hAnsiTheme="minorHAnsi"/>
                <w:sz w:val="20"/>
                <w:szCs w:val="20"/>
              </w:rPr>
              <w:t>GWP</w:t>
            </w:r>
            <w:r w:rsidRPr="000115A2">
              <w:rPr>
                <w:rFonts w:asciiTheme="minorHAnsi" w:hAnsiTheme="minorHAnsi"/>
                <w:sz w:val="20"/>
                <w:szCs w:val="20"/>
                <w:vertAlign w:val="subscript"/>
              </w:rPr>
              <w:t>BC</w:t>
            </w:r>
          </w:p>
        </w:tc>
        <w:tc>
          <w:tcPr>
            <w:tcW w:w="1562" w:type="dxa"/>
            <w:vAlign w:val="center"/>
          </w:tcPr>
          <w:p w:rsidR="00B63622" w:rsidRPr="000115A2" w:rsidRDefault="00096CC4" w:rsidP="000115A2">
            <w:pPr>
              <w:pStyle w:val="NoSpacing"/>
              <w:jc w:val="center"/>
              <w:rPr>
                <w:rFonts w:asciiTheme="minorHAnsi" w:hAnsiTheme="minorHAnsi"/>
                <w:sz w:val="20"/>
                <w:szCs w:val="20"/>
              </w:rPr>
            </w:pPr>
            <w:r w:rsidRPr="000115A2">
              <w:rPr>
                <w:rFonts w:asciiTheme="minorHAnsi" w:hAnsiTheme="minorHAnsi"/>
                <w:sz w:val="20"/>
                <w:szCs w:val="20"/>
              </w:rPr>
              <w:t>GWP100 of BC</w:t>
            </w:r>
          </w:p>
        </w:tc>
        <w:tc>
          <w:tcPr>
            <w:tcW w:w="1559" w:type="dxa"/>
            <w:vAlign w:val="center"/>
          </w:tcPr>
          <w:p w:rsidR="00B63622" w:rsidRPr="000115A2" w:rsidRDefault="00096CC4" w:rsidP="000115A2">
            <w:pPr>
              <w:pStyle w:val="NoSpacing"/>
              <w:jc w:val="center"/>
              <w:rPr>
                <w:rFonts w:asciiTheme="minorHAnsi" w:hAnsiTheme="minorHAnsi"/>
                <w:sz w:val="20"/>
                <w:szCs w:val="20"/>
              </w:rPr>
            </w:pPr>
            <w:r w:rsidRPr="000115A2">
              <w:rPr>
                <w:rFonts w:asciiTheme="minorHAnsi" w:hAnsiTheme="minorHAnsi"/>
                <w:sz w:val="20"/>
                <w:szCs w:val="20"/>
              </w:rPr>
              <w:t>900</w:t>
            </w:r>
          </w:p>
        </w:tc>
        <w:tc>
          <w:tcPr>
            <w:tcW w:w="2126" w:type="dxa"/>
            <w:vAlign w:val="center"/>
          </w:tcPr>
          <w:p w:rsidR="00B63622" w:rsidRPr="000115A2" w:rsidRDefault="00096CC4" w:rsidP="000115A2">
            <w:pPr>
              <w:pStyle w:val="NoSpacing"/>
              <w:jc w:val="center"/>
              <w:rPr>
                <w:rFonts w:asciiTheme="minorHAnsi" w:hAnsiTheme="minorHAnsi"/>
                <w:sz w:val="20"/>
                <w:szCs w:val="20"/>
              </w:rPr>
            </w:pPr>
            <w:r w:rsidRPr="000115A2">
              <w:rPr>
                <w:rFonts w:asciiTheme="minorHAnsi" w:hAnsiTheme="minorHAnsi"/>
                <w:sz w:val="20"/>
                <w:szCs w:val="20"/>
              </w:rPr>
              <w:t>World Bank, 2014</w:t>
            </w:r>
          </w:p>
        </w:tc>
        <w:tc>
          <w:tcPr>
            <w:tcW w:w="2632" w:type="dxa"/>
            <w:vAlign w:val="center"/>
          </w:tcPr>
          <w:p w:rsidR="00B63622" w:rsidRPr="000115A2" w:rsidRDefault="00096CC4" w:rsidP="000115A2">
            <w:pPr>
              <w:pStyle w:val="NoSpacing"/>
              <w:jc w:val="center"/>
              <w:rPr>
                <w:rFonts w:asciiTheme="minorHAnsi" w:hAnsiTheme="minorHAnsi"/>
                <w:sz w:val="20"/>
                <w:szCs w:val="20"/>
              </w:rPr>
            </w:pPr>
            <w:r w:rsidRPr="000115A2">
              <w:rPr>
                <w:rFonts w:asciiTheme="minorHAnsi" w:hAnsiTheme="minorHAnsi"/>
                <w:sz w:val="20"/>
                <w:szCs w:val="20"/>
              </w:rPr>
              <w:t>total effect including direct and Cryosphere effect</w:t>
            </w:r>
          </w:p>
        </w:tc>
      </w:tr>
      <w:tr w:rsidR="000115A2" w:rsidRPr="00B63622" w:rsidTr="000115A2">
        <w:tc>
          <w:tcPr>
            <w:tcW w:w="1117" w:type="dxa"/>
            <w:vAlign w:val="center"/>
          </w:tcPr>
          <w:p w:rsidR="00096CC4" w:rsidRPr="000115A2" w:rsidRDefault="00096CC4" w:rsidP="000115A2">
            <w:pPr>
              <w:pStyle w:val="NoSpacing"/>
              <w:jc w:val="center"/>
              <w:rPr>
                <w:rFonts w:asciiTheme="minorHAnsi" w:hAnsiTheme="minorHAnsi"/>
                <w:sz w:val="20"/>
                <w:szCs w:val="20"/>
              </w:rPr>
            </w:pPr>
            <w:r w:rsidRPr="000115A2">
              <w:rPr>
                <w:rFonts w:asciiTheme="minorHAnsi" w:hAnsiTheme="minorHAnsi"/>
                <w:sz w:val="20"/>
                <w:szCs w:val="20"/>
              </w:rPr>
              <w:t>FC</w:t>
            </w:r>
            <w:r w:rsidRPr="000115A2">
              <w:rPr>
                <w:rFonts w:asciiTheme="minorHAnsi" w:hAnsiTheme="minorHAnsi"/>
                <w:sz w:val="20"/>
                <w:szCs w:val="20"/>
                <w:vertAlign w:val="subscript"/>
              </w:rPr>
              <w:t>R</w:t>
            </w:r>
          </w:p>
        </w:tc>
        <w:tc>
          <w:tcPr>
            <w:tcW w:w="1562" w:type="dxa"/>
            <w:vAlign w:val="center"/>
          </w:tcPr>
          <w:p w:rsidR="00096CC4" w:rsidRPr="000115A2" w:rsidRDefault="00096CC4" w:rsidP="000115A2">
            <w:pPr>
              <w:pStyle w:val="NoSpacing"/>
              <w:jc w:val="center"/>
              <w:rPr>
                <w:rFonts w:asciiTheme="minorHAnsi" w:hAnsiTheme="minorHAnsi"/>
                <w:color w:val="000000"/>
                <w:sz w:val="20"/>
                <w:szCs w:val="20"/>
              </w:rPr>
            </w:pPr>
            <w:r w:rsidRPr="000115A2">
              <w:rPr>
                <w:rFonts w:asciiTheme="minorHAnsi" w:hAnsiTheme="minorHAnsi"/>
                <w:color w:val="000000"/>
                <w:sz w:val="20"/>
                <w:szCs w:val="20"/>
              </w:rPr>
              <w:t>Diesel fuel consumption rail</w:t>
            </w:r>
          </w:p>
        </w:tc>
        <w:tc>
          <w:tcPr>
            <w:tcW w:w="1559" w:type="dxa"/>
            <w:vAlign w:val="center"/>
          </w:tcPr>
          <w:p w:rsidR="00096CC4" w:rsidRPr="000115A2" w:rsidRDefault="00096CC4" w:rsidP="000115A2">
            <w:pPr>
              <w:pStyle w:val="NoSpacing"/>
              <w:jc w:val="center"/>
              <w:rPr>
                <w:rFonts w:asciiTheme="minorHAnsi" w:hAnsiTheme="minorHAnsi"/>
                <w:color w:val="000000"/>
                <w:sz w:val="20"/>
                <w:szCs w:val="20"/>
              </w:rPr>
            </w:pPr>
            <w:r w:rsidRPr="000115A2">
              <w:rPr>
                <w:rFonts w:asciiTheme="minorHAnsi" w:hAnsiTheme="minorHAnsi"/>
                <w:color w:val="000000"/>
                <w:sz w:val="20"/>
                <w:szCs w:val="20"/>
              </w:rPr>
              <w:t>34,916 t</w:t>
            </w:r>
          </w:p>
        </w:tc>
        <w:tc>
          <w:tcPr>
            <w:tcW w:w="2126" w:type="dxa"/>
            <w:vAlign w:val="center"/>
          </w:tcPr>
          <w:p w:rsidR="00096CC4" w:rsidRPr="000115A2" w:rsidRDefault="00096CC4" w:rsidP="000115A2">
            <w:pPr>
              <w:pStyle w:val="NoSpacing"/>
              <w:jc w:val="center"/>
              <w:rPr>
                <w:rFonts w:asciiTheme="minorHAnsi" w:hAnsiTheme="minorHAnsi"/>
                <w:sz w:val="20"/>
                <w:szCs w:val="20"/>
              </w:rPr>
            </w:pPr>
            <w:r w:rsidRPr="000115A2">
              <w:rPr>
                <w:rFonts w:asciiTheme="minorHAnsi" w:hAnsiTheme="minorHAnsi"/>
                <w:sz w:val="20"/>
                <w:szCs w:val="20"/>
              </w:rPr>
              <w:t>BR, 2015 for period 2013-14</w:t>
            </w:r>
          </w:p>
        </w:tc>
        <w:tc>
          <w:tcPr>
            <w:tcW w:w="2632" w:type="dxa"/>
            <w:vAlign w:val="center"/>
          </w:tcPr>
          <w:p w:rsidR="00096CC4" w:rsidRPr="000115A2" w:rsidRDefault="00096CC4" w:rsidP="000115A2">
            <w:pPr>
              <w:pStyle w:val="NoSpacing"/>
              <w:jc w:val="center"/>
              <w:rPr>
                <w:rFonts w:asciiTheme="minorHAnsi" w:hAnsiTheme="minorHAnsi"/>
                <w:sz w:val="20"/>
                <w:szCs w:val="20"/>
              </w:rPr>
            </w:pPr>
          </w:p>
        </w:tc>
      </w:tr>
      <w:tr w:rsidR="000115A2" w:rsidRPr="00B63622" w:rsidTr="000115A2">
        <w:tc>
          <w:tcPr>
            <w:tcW w:w="1117" w:type="dxa"/>
            <w:vAlign w:val="center"/>
          </w:tcPr>
          <w:p w:rsidR="00096CC4" w:rsidRPr="000115A2" w:rsidRDefault="00096CC4" w:rsidP="000115A2">
            <w:pPr>
              <w:pStyle w:val="NoSpacing"/>
              <w:jc w:val="center"/>
              <w:rPr>
                <w:rFonts w:asciiTheme="minorHAnsi" w:hAnsiTheme="minorHAnsi"/>
                <w:sz w:val="20"/>
                <w:szCs w:val="20"/>
              </w:rPr>
            </w:pPr>
          </w:p>
        </w:tc>
        <w:tc>
          <w:tcPr>
            <w:tcW w:w="1562" w:type="dxa"/>
            <w:vAlign w:val="center"/>
          </w:tcPr>
          <w:p w:rsidR="00096CC4" w:rsidRPr="000115A2" w:rsidRDefault="00096CC4" w:rsidP="000115A2">
            <w:pPr>
              <w:pStyle w:val="NoSpacing"/>
              <w:jc w:val="center"/>
              <w:rPr>
                <w:rFonts w:asciiTheme="minorHAnsi" w:hAnsiTheme="minorHAnsi"/>
                <w:color w:val="000000"/>
                <w:sz w:val="20"/>
                <w:szCs w:val="20"/>
              </w:rPr>
            </w:pPr>
            <w:r w:rsidRPr="000115A2">
              <w:rPr>
                <w:rFonts w:asciiTheme="minorHAnsi" w:hAnsiTheme="minorHAnsi"/>
                <w:color w:val="000000"/>
                <w:sz w:val="20"/>
                <w:szCs w:val="20"/>
              </w:rPr>
              <w:t>Engine-km passengers</w:t>
            </w:r>
          </w:p>
        </w:tc>
        <w:tc>
          <w:tcPr>
            <w:tcW w:w="1559" w:type="dxa"/>
            <w:vAlign w:val="center"/>
          </w:tcPr>
          <w:p w:rsidR="00096CC4" w:rsidRPr="000115A2" w:rsidRDefault="00096CC4" w:rsidP="000115A2">
            <w:pPr>
              <w:pStyle w:val="NoSpacing"/>
              <w:jc w:val="center"/>
              <w:rPr>
                <w:rFonts w:asciiTheme="minorHAnsi" w:hAnsiTheme="minorHAnsi"/>
                <w:color w:val="000000"/>
                <w:sz w:val="20"/>
                <w:szCs w:val="20"/>
              </w:rPr>
            </w:pPr>
            <w:r w:rsidRPr="000115A2">
              <w:rPr>
                <w:rFonts w:asciiTheme="minorHAnsi" w:hAnsiTheme="minorHAnsi"/>
                <w:color w:val="000000"/>
                <w:sz w:val="20"/>
                <w:szCs w:val="20"/>
              </w:rPr>
              <w:t>12.334 Mkm</w:t>
            </w:r>
          </w:p>
        </w:tc>
        <w:tc>
          <w:tcPr>
            <w:tcW w:w="2126" w:type="dxa"/>
            <w:vAlign w:val="center"/>
          </w:tcPr>
          <w:p w:rsidR="00096CC4" w:rsidRPr="000115A2" w:rsidRDefault="00096CC4" w:rsidP="000115A2">
            <w:pPr>
              <w:pStyle w:val="NoSpacing"/>
              <w:jc w:val="center"/>
              <w:rPr>
                <w:rFonts w:asciiTheme="minorHAnsi" w:hAnsiTheme="minorHAnsi"/>
                <w:sz w:val="20"/>
                <w:szCs w:val="20"/>
              </w:rPr>
            </w:pPr>
            <w:r w:rsidRPr="000115A2">
              <w:rPr>
                <w:rFonts w:asciiTheme="minorHAnsi" w:hAnsiTheme="minorHAnsi"/>
                <w:sz w:val="20"/>
                <w:szCs w:val="20"/>
              </w:rPr>
              <w:t>BR, 2015 for period 2013-14</w:t>
            </w:r>
          </w:p>
        </w:tc>
        <w:tc>
          <w:tcPr>
            <w:tcW w:w="2632" w:type="dxa"/>
            <w:vAlign w:val="center"/>
          </w:tcPr>
          <w:p w:rsidR="00096CC4" w:rsidRPr="000115A2" w:rsidRDefault="00096CC4" w:rsidP="000115A2">
            <w:pPr>
              <w:pStyle w:val="NoSpacing"/>
              <w:jc w:val="center"/>
              <w:rPr>
                <w:rFonts w:asciiTheme="minorHAnsi" w:hAnsiTheme="minorHAnsi"/>
                <w:sz w:val="20"/>
                <w:szCs w:val="20"/>
              </w:rPr>
            </w:pPr>
            <w:r w:rsidRPr="000115A2">
              <w:rPr>
                <w:rFonts w:asciiTheme="minorHAnsi" w:hAnsiTheme="minorHAnsi"/>
                <w:sz w:val="20"/>
                <w:szCs w:val="20"/>
              </w:rPr>
              <w:t>Required for assigning diesel fuel consumption to passenger movement</w:t>
            </w:r>
          </w:p>
        </w:tc>
      </w:tr>
      <w:tr w:rsidR="000115A2" w:rsidRPr="00B63622" w:rsidTr="000115A2">
        <w:tc>
          <w:tcPr>
            <w:tcW w:w="1117" w:type="dxa"/>
            <w:vAlign w:val="center"/>
          </w:tcPr>
          <w:p w:rsidR="00096CC4" w:rsidRPr="000115A2" w:rsidRDefault="00096CC4" w:rsidP="000115A2">
            <w:pPr>
              <w:pStyle w:val="NoSpacing"/>
              <w:jc w:val="center"/>
              <w:rPr>
                <w:rFonts w:asciiTheme="minorHAnsi" w:hAnsiTheme="minorHAnsi"/>
                <w:sz w:val="20"/>
                <w:szCs w:val="20"/>
              </w:rPr>
            </w:pPr>
          </w:p>
        </w:tc>
        <w:tc>
          <w:tcPr>
            <w:tcW w:w="1562" w:type="dxa"/>
            <w:vAlign w:val="center"/>
          </w:tcPr>
          <w:p w:rsidR="00096CC4" w:rsidRPr="000115A2" w:rsidRDefault="00096CC4" w:rsidP="000115A2">
            <w:pPr>
              <w:pStyle w:val="NoSpacing"/>
              <w:jc w:val="center"/>
              <w:rPr>
                <w:rFonts w:asciiTheme="minorHAnsi" w:hAnsiTheme="minorHAnsi"/>
                <w:color w:val="000000"/>
                <w:sz w:val="20"/>
                <w:szCs w:val="20"/>
              </w:rPr>
            </w:pPr>
            <w:r w:rsidRPr="000115A2">
              <w:rPr>
                <w:rFonts w:asciiTheme="minorHAnsi" w:hAnsiTheme="minorHAnsi"/>
                <w:color w:val="000000"/>
                <w:sz w:val="20"/>
                <w:szCs w:val="20"/>
              </w:rPr>
              <w:t>Engine-km freight</w:t>
            </w:r>
          </w:p>
        </w:tc>
        <w:tc>
          <w:tcPr>
            <w:tcW w:w="1559" w:type="dxa"/>
            <w:vAlign w:val="center"/>
          </w:tcPr>
          <w:p w:rsidR="00096CC4" w:rsidRPr="000115A2" w:rsidRDefault="00096CC4" w:rsidP="000115A2">
            <w:pPr>
              <w:pStyle w:val="NoSpacing"/>
              <w:jc w:val="center"/>
              <w:rPr>
                <w:rFonts w:asciiTheme="minorHAnsi" w:hAnsiTheme="minorHAnsi"/>
                <w:color w:val="000000"/>
                <w:sz w:val="20"/>
                <w:szCs w:val="20"/>
              </w:rPr>
            </w:pPr>
            <w:r w:rsidRPr="000115A2">
              <w:rPr>
                <w:rFonts w:asciiTheme="minorHAnsi" w:hAnsiTheme="minorHAnsi"/>
                <w:color w:val="000000"/>
                <w:sz w:val="20"/>
                <w:szCs w:val="20"/>
              </w:rPr>
              <w:t>1.177 Mkm</w:t>
            </w:r>
          </w:p>
        </w:tc>
        <w:tc>
          <w:tcPr>
            <w:tcW w:w="2126" w:type="dxa"/>
            <w:vAlign w:val="center"/>
          </w:tcPr>
          <w:p w:rsidR="00096CC4" w:rsidRPr="000115A2" w:rsidRDefault="00096CC4" w:rsidP="000115A2">
            <w:pPr>
              <w:pStyle w:val="NoSpacing"/>
              <w:jc w:val="center"/>
              <w:rPr>
                <w:rFonts w:asciiTheme="minorHAnsi" w:hAnsiTheme="minorHAnsi"/>
                <w:sz w:val="20"/>
                <w:szCs w:val="20"/>
              </w:rPr>
            </w:pPr>
            <w:r w:rsidRPr="000115A2">
              <w:rPr>
                <w:rFonts w:asciiTheme="minorHAnsi" w:hAnsiTheme="minorHAnsi"/>
                <w:sz w:val="20"/>
                <w:szCs w:val="20"/>
              </w:rPr>
              <w:t>BR, 2015 for period 2013-14</w:t>
            </w:r>
          </w:p>
        </w:tc>
        <w:tc>
          <w:tcPr>
            <w:tcW w:w="2632" w:type="dxa"/>
            <w:vAlign w:val="center"/>
          </w:tcPr>
          <w:p w:rsidR="00096CC4" w:rsidRPr="000115A2" w:rsidRDefault="00096CC4" w:rsidP="000115A2">
            <w:pPr>
              <w:pStyle w:val="NoSpacing"/>
              <w:jc w:val="center"/>
              <w:rPr>
                <w:rFonts w:asciiTheme="minorHAnsi" w:hAnsiTheme="minorHAnsi"/>
                <w:sz w:val="20"/>
                <w:szCs w:val="20"/>
              </w:rPr>
            </w:pPr>
            <w:r w:rsidRPr="000115A2">
              <w:rPr>
                <w:rFonts w:asciiTheme="minorHAnsi" w:hAnsiTheme="minorHAnsi"/>
                <w:sz w:val="20"/>
                <w:szCs w:val="20"/>
              </w:rPr>
              <w:t>Required for assigning diesel fuel consumption to freight movement</w:t>
            </w:r>
          </w:p>
        </w:tc>
      </w:tr>
      <w:tr w:rsidR="000115A2" w:rsidRPr="00B63622" w:rsidTr="000115A2">
        <w:tc>
          <w:tcPr>
            <w:tcW w:w="1117" w:type="dxa"/>
            <w:vAlign w:val="center"/>
          </w:tcPr>
          <w:p w:rsidR="00096CC4" w:rsidRPr="000115A2" w:rsidRDefault="00096CC4" w:rsidP="000115A2">
            <w:pPr>
              <w:pStyle w:val="NoSpacing"/>
              <w:jc w:val="center"/>
              <w:rPr>
                <w:rFonts w:asciiTheme="minorHAnsi" w:hAnsiTheme="minorHAnsi"/>
                <w:sz w:val="20"/>
                <w:szCs w:val="20"/>
              </w:rPr>
            </w:pPr>
            <w:r w:rsidRPr="000115A2">
              <w:rPr>
                <w:rFonts w:asciiTheme="minorHAnsi" w:hAnsiTheme="minorHAnsi"/>
                <w:sz w:val="20"/>
                <w:szCs w:val="20"/>
              </w:rPr>
              <w:t>AL</w:t>
            </w:r>
            <w:r w:rsidRPr="000115A2">
              <w:rPr>
                <w:rFonts w:asciiTheme="minorHAnsi" w:hAnsiTheme="minorHAnsi"/>
                <w:sz w:val="20"/>
                <w:szCs w:val="20"/>
                <w:vertAlign w:val="subscript"/>
              </w:rPr>
              <w:t>P</w:t>
            </w:r>
          </w:p>
        </w:tc>
        <w:tc>
          <w:tcPr>
            <w:tcW w:w="1562" w:type="dxa"/>
            <w:vAlign w:val="center"/>
          </w:tcPr>
          <w:p w:rsidR="00096CC4" w:rsidRPr="000115A2" w:rsidRDefault="00096CC4" w:rsidP="000115A2">
            <w:pPr>
              <w:pStyle w:val="NoSpacing"/>
              <w:jc w:val="center"/>
              <w:rPr>
                <w:rFonts w:asciiTheme="minorHAnsi" w:hAnsiTheme="minorHAnsi"/>
                <w:color w:val="000000"/>
                <w:sz w:val="20"/>
                <w:szCs w:val="20"/>
              </w:rPr>
            </w:pPr>
            <w:r w:rsidRPr="000115A2">
              <w:rPr>
                <w:rFonts w:asciiTheme="minorHAnsi" w:hAnsiTheme="minorHAnsi"/>
                <w:color w:val="000000"/>
                <w:sz w:val="20"/>
                <w:szCs w:val="20"/>
              </w:rPr>
              <w:t>Passenger movement rail</w:t>
            </w:r>
          </w:p>
        </w:tc>
        <w:tc>
          <w:tcPr>
            <w:tcW w:w="1559" w:type="dxa"/>
            <w:vAlign w:val="center"/>
          </w:tcPr>
          <w:p w:rsidR="00096CC4" w:rsidRPr="000115A2" w:rsidRDefault="00096CC4" w:rsidP="000115A2">
            <w:pPr>
              <w:pStyle w:val="NoSpacing"/>
              <w:jc w:val="center"/>
              <w:rPr>
                <w:rFonts w:asciiTheme="minorHAnsi" w:hAnsiTheme="minorHAnsi"/>
                <w:color w:val="000000"/>
                <w:sz w:val="20"/>
                <w:szCs w:val="20"/>
              </w:rPr>
            </w:pPr>
            <w:r w:rsidRPr="000115A2">
              <w:rPr>
                <w:rFonts w:asciiTheme="minorHAnsi" w:hAnsiTheme="minorHAnsi"/>
                <w:color w:val="000000"/>
                <w:sz w:val="20"/>
                <w:szCs w:val="20"/>
              </w:rPr>
              <w:t>8,135 Mpkm</w:t>
            </w:r>
          </w:p>
        </w:tc>
        <w:tc>
          <w:tcPr>
            <w:tcW w:w="2126" w:type="dxa"/>
            <w:vAlign w:val="center"/>
          </w:tcPr>
          <w:p w:rsidR="00096CC4" w:rsidRPr="000115A2" w:rsidRDefault="00096CC4" w:rsidP="000115A2">
            <w:pPr>
              <w:pStyle w:val="NoSpacing"/>
              <w:jc w:val="center"/>
              <w:rPr>
                <w:rFonts w:asciiTheme="minorHAnsi" w:hAnsiTheme="minorHAnsi"/>
                <w:sz w:val="20"/>
                <w:szCs w:val="20"/>
              </w:rPr>
            </w:pPr>
            <w:r w:rsidRPr="000115A2">
              <w:rPr>
                <w:rFonts w:asciiTheme="minorHAnsi" w:hAnsiTheme="minorHAnsi"/>
                <w:sz w:val="20"/>
                <w:szCs w:val="20"/>
              </w:rPr>
              <w:t>BR, 2015 for period 2013-14</w:t>
            </w:r>
          </w:p>
        </w:tc>
        <w:tc>
          <w:tcPr>
            <w:tcW w:w="2632" w:type="dxa"/>
            <w:vAlign w:val="center"/>
          </w:tcPr>
          <w:p w:rsidR="00096CC4" w:rsidRPr="000115A2" w:rsidRDefault="00FC17CE" w:rsidP="000115A2">
            <w:pPr>
              <w:pStyle w:val="NoSpacing"/>
              <w:jc w:val="center"/>
              <w:rPr>
                <w:rFonts w:asciiTheme="minorHAnsi" w:hAnsiTheme="minorHAnsi"/>
                <w:sz w:val="20"/>
                <w:szCs w:val="20"/>
              </w:rPr>
            </w:pPr>
            <w:r w:rsidRPr="000115A2">
              <w:rPr>
                <w:rFonts w:asciiTheme="minorHAnsi" w:hAnsiTheme="minorHAnsi"/>
                <w:sz w:val="20"/>
                <w:szCs w:val="20"/>
              </w:rPr>
              <w:t>Used for calculating EF</w:t>
            </w:r>
            <w:r w:rsidRPr="000115A2">
              <w:rPr>
                <w:rFonts w:asciiTheme="minorHAnsi" w:hAnsiTheme="minorHAnsi"/>
                <w:sz w:val="20"/>
                <w:szCs w:val="20"/>
                <w:vertAlign w:val="subscript"/>
              </w:rPr>
              <w:t>PKM</w:t>
            </w:r>
            <w:r w:rsidRPr="000115A2">
              <w:rPr>
                <w:rFonts w:asciiTheme="minorHAnsi" w:hAnsiTheme="minorHAnsi"/>
                <w:sz w:val="20"/>
                <w:szCs w:val="20"/>
              </w:rPr>
              <w:t xml:space="preserve"> rail</w:t>
            </w:r>
          </w:p>
        </w:tc>
      </w:tr>
      <w:tr w:rsidR="000115A2" w:rsidRPr="00B63622" w:rsidTr="000115A2">
        <w:tc>
          <w:tcPr>
            <w:tcW w:w="1117" w:type="dxa"/>
            <w:vAlign w:val="center"/>
          </w:tcPr>
          <w:p w:rsidR="00096CC4" w:rsidRPr="000115A2" w:rsidRDefault="00096CC4" w:rsidP="000115A2">
            <w:pPr>
              <w:pStyle w:val="NoSpacing"/>
              <w:jc w:val="center"/>
              <w:rPr>
                <w:rFonts w:asciiTheme="minorHAnsi" w:hAnsiTheme="minorHAnsi"/>
                <w:sz w:val="20"/>
                <w:szCs w:val="20"/>
              </w:rPr>
            </w:pPr>
            <w:r w:rsidRPr="000115A2">
              <w:rPr>
                <w:rFonts w:asciiTheme="minorHAnsi" w:hAnsiTheme="minorHAnsi"/>
                <w:sz w:val="20"/>
                <w:szCs w:val="20"/>
              </w:rPr>
              <w:t>AC</w:t>
            </w:r>
            <w:r w:rsidRPr="000115A2">
              <w:rPr>
                <w:rFonts w:asciiTheme="minorHAnsi" w:hAnsiTheme="minorHAnsi"/>
                <w:sz w:val="20"/>
                <w:szCs w:val="20"/>
                <w:vertAlign w:val="subscript"/>
              </w:rPr>
              <w:t>F</w:t>
            </w:r>
          </w:p>
        </w:tc>
        <w:tc>
          <w:tcPr>
            <w:tcW w:w="1562" w:type="dxa"/>
            <w:vAlign w:val="center"/>
          </w:tcPr>
          <w:p w:rsidR="00096CC4" w:rsidRPr="000115A2" w:rsidRDefault="00096CC4" w:rsidP="000115A2">
            <w:pPr>
              <w:pStyle w:val="NoSpacing"/>
              <w:jc w:val="center"/>
              <w:rPr>
                <w:rFonts w:asciiTheme="minorHAnsi" w:hAnsiTheme="minorHAnsi"/>
                <w:color w:val="000000"/>
                <w:sz w:val="20"/>
                <w:szCs w:val="20"/>
              </w:rPr>
            </w:pPr>
            <w:r w:rsidRPr="000115A2">
              <w:rPr>
                <w:rFonts w:asciiTheme="minorHAnsi" w:hAnsiTheme="minorHAnsi"/>
                <w:color w:val="000000"/>
                <w:sz w:val="20"/>
                <w:szCs w:val="20"/>
              </w:rPr>
              <w:t>Freight movement rail</w:t>
            </w:r>
          </w:p>
        </w:tc>
        <w:tc>
          <w:tcPr>
            <w:tcW w:w="1559" w:type="dxa"/>
            <w:vAlign w:val="center"/>
          </w:tcPr>
          <w:p w:rsidR="00096CC4" w:rsidRPr="000115A2" w:rsidRDefault="00096CC4" w:rsidP="000115A2">
            <w:pPr>
              <w:pStyle w:val="NoSpacing"/>
              <w:jc w:val="center"/>
              <w:rPr>
                <w:rFonts w:asciiTheme="minorHAnsi" w:hAnsiTheme="minorHAnsi"/>
                <w:color w:val="000000"/>
                <w:sz w:val="20"/>
                <w:szCs w:val="20"/>
              </w:rPr>
            </w:pPr>
            <w:r w:rsidRPr="000115A2">
              <w:rPr>
                <w:rFonts w:asciiTheme="minorHAnsi" w:hAnsiTheme="minorHAnsi"/>
                <w:color w:val="000000"/>
                <w:sz w:val="20"/>
                <w:szCs w:val="20"/>
              </w:rPr>
              <w:t>677 Mtkm</w:t>
            </w:r>
          </w:p>
        </w:tc>
        <w:tc>
          <w:tcPr>
            <w:tcW w:w="2126" w:type="dxa"/>
            <w:vAlign w:val="center"/>
          </w:tcPr>
          <w:p w:rsidR="00096CC4" w:rsidRPr="000115A2" w:rsidRDefault="00096CC4" w:rsidP="000115A2">
            <w:pPr>
              <w:pStyle w:val="NoSpacing"/>
              <w:jc w:val="center"/>
              <w:rPr>
                <w:rFonts w:asciiTheme="minorHAnsi" w:hAnsiTheme="minorHAnsi"/>
                <w:sz w:val="20"/>
                <w:szCs w:val="20"/>
              </w:rPr>
            </w:pPr>
            <w:r w:rsidRPr="000115A2">
              <w:rPr>
                <w:rFonts w:asciiTheme="minorHAnsi" w:hAnsiTheme="minorHAnsi"/>
                <w:sz w:val="20"/>
                <w:szCs w:val="20"/>
              </w:rPr>
              <w:t>BR, 2015 for period 2013-14</w:t>
            </w:r>
          </w:p>
        </w:tc>
        <w:tc>
          <w:tcPr>
            <w:tcW w:w="2632" w:type="dxa"/>
            <w:vAlign w:val="center"/>
          </w:tcPr>
          <w:p w:rsidR="00096CC4" w:rsidRPr="000115A2" w:rsidRDefault="00FC17CE" w:rsidP="000115A2">
            <w:pPr>
              <w:pStyle w:val="NoSpacing"/>
              <w:jc w:val="center"/>
              <w:rPr>
                <w:rFonts w:asciiTheme="minorHAnsi" w:hAnsiTheme="minorHAnsi"/>
                <w:sz w:val="20"/>
                <w:szCs w:val="20"/>
              </w:rPr>
            </w:pPr>
            <w:r w:rsidRPr="000115A2">
              <w:rPr>
                <w:rFonts w:asciiTheme="minorHAnsi" w:hAnsiTheme="minorHAnsi"/>
                <w:sz w:val="20"/>
                <w:szCs w:val="20"/>
              </w:rPr>
              <w:t>Used for calculating EF</w:t>
            </w:r>
            <w:r w:rsidRPr="000115A2">
              <w:rPr>
                <w:rFonts w:asciiTheme="minorHAnsi" w:hAnsiTheme="minorHAnsi"/>
                <w:sz w:val="20"/>
                <w:szCs w:val="20"/>
                <w:vertAlign w:val="subscript"/>
              </w:rPr>
              <w:t>TKM</w:t>
            </w:r>
            <w:r w:rsidRPr="000115A2">
              <w:rPr>
                <w:rFonts w:asciiTheme="minorHAnsi" w:hAnsiTheme="minorHAnsi"/>
                <w:sz w:val="20"/>
                <w:szCs w:val="20"/>
              </w:rPr>
              <w:t xml:space="preserve"> rail</w:t>
            </w:r>
          </w:p>
        </w:tc>
      </w:tr>
      <w:tr w:rsidR="00096CC4" w:rsidRPr="00B63622" w:rsidTr="000115A2">
        <w:tc>
          <w:tcPr>
            <w:tcW w:w="1117" w:type="dxa"/>
            <w:vAlign w:val="center"/>
          </w:tcPr>
          <w:p w:rsidR="00096CC4" w:rsidRPr="000115A2" w:rsidRDefault="00096CC4" w:rsidP="000115A2">
            <w:pPr>
              <w:pStyle w:val="NoSpacing"/>
              <w:jc w:val="center"/>
              <w:rPr>
                <w:rFonts w:asciiTheme="minorHAnsi" w:hAnsiTheme="minorHAnsi"/>
                <w:sz w:val="20"/>
                <w:szCs w:val="20"/>
              </w:rPr>
            </w:pPr>
          </w:p>
        </w:tc>
        <w:tc>
          <w:tcPr>
            <w:tcW w:w="1562" w:type="dxa"/>
            <w:vAlign w:val="center"/>
          </w:tcPr>
          <w:p w:rsidR="00096CC4" w:rsidRPr="000115A2" w:rsidRDefault="00096CC4" w:rsidP="000115A2">
            <w:pPr>
              <w:pStyle w:val="NoSpacing"/>
              <w:jc w:val="center"/>
              <w:rPr>
                <w:rFonts w:asciiTheme="minorHAnsi" w:hAnsiTheme="minorHAnsi"/>
                <w:color w:val="000000"/>
                <w:sz w:val="20"/>
                <w:szCs w:val="20"/>
              </w:rPr>
            </w:pPr>
            <w:r w:rsidRPr="000115A2">
              <w:rPr>
                <w:rFonts w:asciiTheme="minorHAnsi" w:hAnsiTheme="minorHAnsi"/>
                <w:color w:val="000000"/>
                <w:sz w:val="20"/>
                <w:szCs w:val="20"/>
              </w:rPr>
              <w:t>GDP growth</w:t>
            </w:r>
          </w:p>
        </w:tc>
        <w:tc>
          <w:tcPr>
            <w:tcW w:w="1559" w:type="dxa"/>
            <w:vAlign w:val="center"/>
          </w:tcPr>
          <w:p w:rsidR="00096CC4" w:rsidRPr="000115A2" w:rsidRDefault="00096CC4" w:rsidP="000115A2">
            <w:pPr>
              <w:pStyle w:val="NoSpacing"/>
              <w:jc w:val="center"/>
              <w:rPr>
                <w:rFonts w:asciiTheme="minorHAnsi" w:hAnsiTheme="minorHAnsi"/>
                <w:color w:val="000000"/>
                <w:sz w:val="20"/>
                <w:szCs w:val="20"/>
              </w:rPr>
            </w:pPr>
            <w:r w:rsidRPr="000115A2">
              <w:rPr>
                <w:rFonts w:asciiTheme="minorHAnsi" w:hAnsiTheme="minorHAnsi"/>
                <w:color w:val="000000"/>
                <w:sz w:val="20"/>
                <w:szCs w:val="20"/>
              </w:rPr>
              <w:t>5.5%</w:t>
            </w:r>
          </w:p>
        </w:tc>
        <w:tc>
          <w:tcPr>
            <w:tcW w:w="2126" w:type="dxa"/>
            <w:vAlign w:val="center"/>
          </w:tcPr>
          <w:p w:rsidR="00096CC4" w:rsidRPr="000115A2" w:rsidRDefault="00096CC4" w:rsidP="000115A2">
            <w:pPr>
              <w:pStyle w:val="NoSpacing"/>
              <w:jc w:val="center"/>
              <w:rPr>
                <w:rFonts w:asciiTheme="minorHAnsi" w:hAnsiTheme="minorHAnsi"/>
                <w:sz w:val="20"/>
                <w:szCs w:val="20"/>
              </w:rPr>
            </w:pPr>
            <w:r w:rsidRPr="000115A2">
              <w:rPr>
                <w:rFonts w:asciiTheme="minorHAnsi" w:hAnsiTheme="minorHAnsi"/>
                <w:sz w:val="20"/>
                <w:szCs w:val="20"/>
              </w:rPr>
              <w:t>BR, Master Plan</w:t>
            </w:r>
          </w:p>
        </w:tc>
        <w:tc>
          <w:tcPr>
            <w:tcW w:w="2632" w:type="dxa"/>
            <w:vAlign w:val="center"/>
          </w:tcPr>
          <w:p w:rsidR="00096CC4" w:rsidRPr="000115A2" w:rsidRDefault="00864A64" w:rsidP="000115A2">
            <w:pPr>
              <w:pStyle w:val="NoSpacing"/>
              <w:jc w:val="center"/>
              <w:rPr>
                <w:rFonts w:asciiTheme="minorHAnsi" w:hAnsiTheme="minorHAnsi"/>
                <w:sz w:val="20"/>
                <w:szCs w:val="20"/>
              </w:rPr>
            </w:pPr>
            <w:r w:rsidRPr="000115A2">
              <w:rPr>
                <w:rFonts w:asciiTheme="minorHAnsi" w:hAnsiTheme="minorHAnsi"/>
                <w:sz w:val="20"/>
                <w:szCs w:val="20"/>
              </w:rPr>
              <w:t>Trading</w:t>
            </w:r>
            <w:r w:rsidR="00C14C7F">
              <w:rPr>
                <w:rFonts w:asciiTheme="minorHAnsi" w:hAnsiTheme="minorHAnsi"/>
                <w:sz w:val="20"/>
                <w:szCs w:val="20"/>
              </w:rPr>
              <w:t xml:space="preserve"> </w:t>
            </w:r>
            <w:r w:rsidRPr="000115A2">
              <w:rPr>
                <w:rFonts w:asciiTheme="minorHAnsi" w:hAnsiTheme="minorHAnsi"/>
                <w:sz w:val="20"/>
                <w:szCs w:val="20"/>
              </w:rPr>
              <w:t>economics based on ARIMA model has a growth rate of 6.3% until 2020</w:t>
            </w:r>
            <w:r w:rsidRPr="000115A2">
              <w:rPr>
                <w:rStyle w:val="FootnoteReference"/>
                <w:rFonts w:asciiTheme="minorHAnsi" w:hAnsiTheme="minorHAnsi"/>
                <w:sz w:val="20"/>
                <w:szCs w:val="20"/>
              </w:rPr>
              <w:footnoteReference w:id="41"/>
            </w:r>
            <w:r w:rsidR="000115A2" w:rsidRPr="000115A2">
              <w:rPr>
                <w:rFonts w:asciiTheme="minorHAnsi" w:hAnsiTheme="minorHAnsi"/>
                <w:sz w:val="20"/>
                <w:szCs w:val="20"/>
              </w:rPr>
              <w:t>; IFs forecasts an average annual growth rate of 6.9% to 2030</w:t>
            </w:r>
            <w:r w:rsidR="000115A2" w:rsidRPr="000115A2">
              <w:rPr>
                <w:rStyle w:val="FootnoteReference"/>
                <w:rFonts w:asciiTheme="minorHAnsi" w:hAnsiTheme="minorHAnsi"/>
                <w:sz w:val="20"/>
                <w:szCs w:val="20"/>
              </w:rPr>
              <w:footnoteReference w:id="42"/>
            </w:r>
          </w:p>
        </w:tc>
      </w:tr>
      <w:tr w:rsidR="00096CC4" w:rsidRPr="00B63622" w:rsidTr="000115A2">
        <w:tc>
          <w:tcPr>
            <w:tcW w:w="1117" w:type="dxa"/>
            <w:vAlign w:val="center"/>
          </w:tcPr>
          <w:p w:rsidR="00096CC4" w:rsidRPr="000115A2" w:rsidRDefault="00096CC4" w:rsidP="000115A2">
            <w:pPr>
              <w:pStyle w:val="NoSpacing"/>
              <w:jc w:val="center"/>
              <w:rPr>
                <w:rFonts w:asciiTheme="minorHAnsi" w:hAnsiTheme="minorHAnsi"/>
                <w:sz w:val="20"/>
                <w:szCs w:val="20"/>
              </w:rPr>
            </w:pPr>
            <w:r w:rsidRPr="000115A2">
              <w:rPr>
                <w:rFonts w:asciiTheme="minorHAnsi" w:hAnsiTheme="minorHAnsi"/>
                <w:sz w:val="20"/>
                <w:szCs w:val="20"/>
              </w:rPr>
              <w:t>Ɛ</w:t>
            </w:r>
            <w:r w:rsidRPr="000115A2">
              <w:rPr>
                <w:rFonts w:asciiTheme="minorHAnsi" w:hAnsiTheme="minorHAnsi"/>
                <w:sz w:val="20"/>
                <w:szCs w:val="20"/>
                <w:vertAlign w:val="subscript"/>
              </w:rPr>
              <w:t>P</w:t>
            </w:r>
          </w:p>
        </w:tc>
        <w:tc>
          <w:tcPr>
            <w:tcW w:w="1562" w:type="dxa"/>
            <w:vAlign w:val="center"/>
          </w:tcPr>
          <w:p w:rsidR="00096CC4" w:rsidRPr="000115A2" w:rsidRDefault="00096CC4" w:rsidP="000115A2">
            <w:pPr>
              <w:pStyle w:val="NoSpacing"/>
              <w:jc w:val="center"/>
              <w:rPr>
                <w:rFonts w:asciiTheme="minorHAnsi" w:hAnsiTheme="minorHAnsi"/>
                <w:color w:val="000000"/>
                <w:sz w:val="20"/>
                <w:szCs w:val="20"/>
              </w:rPr>
            </w:pPr>
            <w:r w:rsidRPr="000115A2">
              <w:rPr>
                <w:rFonts w:asciiTheme="minorHAnsi" w:hAnsiTheme="minorHAnsi"/>
                <w:color w:val="000000"/>
                <w:sz w:val="20"/>
                <w:szCs w:val="20"/>
              </w:rPr>
              <w:t>pkm elasticity</w:t>
            </w:r>
          </w:p>
        </w:tc>
        <w:tc>
          <w:tcPr>
            <w:tcW w:w="1559" w:type="dxa"/>
            <w:vAlign w:val="center"/>
          </w:tcPr>
          <w:p w:rsidR="00096CC4" w:rsidRPr="000115A2" w:rsidRDefault="00096CC4" w:rsidP="000115A2">
            <w:pPr>
              <w:pStyle w:val="NoSpacing"/>
              <w:jc w:val="center"/>
              <w:rPr>
                <w:rFonts w:asciiTheme="minorHAnsi" w:hAnsiTheme="minorHAnsi"/>
                <w:color w:val="000000"/>
                <w:sz w:val="20"/>
                <w:szCs w:val="20"/>
              </w:rPr>
            </w:pPr>
            <w:r w:rsidRPr="000115A2">
              <w:rPr>
                <w:rFonts w:asciiTheme="minorHAnsi" w:hAnsiTheme="minorHAnsi"/>
                <w:color w:val="000000"/>
                <w:sz w:val="20"/>
                <w:szCs w:val="20"/>
              </w:rPr>
              <w:t>1.09 until 2020</w:t>
            </w:r>
          </w:p>
          <w:p w:rsidR="00096CC4" w:rsidRPr="000115A2" w:rsidRDefault="00096CC4" w:rsidP="000115A2">
            <w:pPr>
              <w:pStyle w:val="NoSpacing"/>
              <w:jc w:val="center"/>
              <w:rPr>
                <w:rFonts w:asciiTheme="minorHAnsi" w:hAnsiTheme="minorHAnsi"/>
                <w:color w:val="000000"/>
                <w:sz w:val="20"/>
                <w:szCs w:val="20"/>
              </w:rPr>
            </w:pPr>
            <w:r w:rsidRPr="000115A2">
              <w:rPr>
                <w:rFonts w:asciiTheme="minorHAnsi" w:hAnsiTheme="minorHAnsi"/>
                <w:color w:val="000000"/>
                <w:sz w:val="20"/>
                <w:szCs w:val="20"/>
              </w:rPr>
              <w:t>1.0 2021-2030</w:t>
            </w:r>
          </w:p>
        </w:tc>
        <w:tc>
          <w:tcPr>
            <w:tcW w:w="2126" w:type="dxa"/>
            <w:vAlign w:val="center"/>
          </w:tcPr>
          <w:p w:rsidR="00096CC4" w:rsidRPr="000115A2" w:rsidRDefault="00096CC4" w:rsidP="000115A2">
            <w:pPr>
              <w:pStyle w:val="NoSpacing"/>
              <w:jc w:val="center"/>
              <w:rPr>
                <w:rFonts w:asciiTheme="minorHAnsi" w:hAnsiTheme="minorHAnsi"/>
                <w:sz w:val="20"/>
                <w:szCs w:val="20"/>
              </w:rPr>
            </w:pPr>
            <w:r w:rsidRPr="000115A2">
              <w:rPr>
                <w:rFonts w:asciiTheme="minorHAnsi" w:hAnsiTheme="minorHAnsi"/>
                <w:sz w:val="20"/>
                <w:szCs w:val="20"/>
              </w:rPr>
              <w:t>BR, Master Plan</w:t>
            </w:r>
          </w:p>
        </w:tc>
        <w:tc>
          <w:tcPr>
            <w:tcW w:w="2632" w:type="dxa"/>
            <w:vAlign w:val="center"/>
          </w:tcPr>
          <w:p w:rsidR="00096CC4" w:rsidRPr="000115A2" w:rsidRDefault="00FC17CE" w:rsidP="000115A2">
            <w:pPr>
              <w:pStyle w:val="NoSpacing"/>
              <w:jc w:val="center"/>
              <w:rPr>
                <w:rFonts w:asciiTheme="minorHAnsi" w:hAnsiTheme="minorHAnsi"/>
                <w:sz w:val="20"/>
                <w:szCs w:val="20"/>
              </w:rPr>
            </w:pPr>
            <w:r w:rsidRPr="000115A2">
              <w:rPr>
                <w:rFonts w:asciiTheme="minorHAnsi" w:hAnsiTheme="minorHAnsi"/>
                <w:sz w:val="20"/>
                <w:szCs w:val="20"/>
              </w:rPr>
              <w:t>India has a similar elasticity of 1.0</w:t>
            </w:r>
            <w:r w:rsidRPr="000115A2">
              <w:rPr>
                <w:rStyle w:val="FootnoteReference"/>
                <w:rFonts w:asciiTheme="minorHAnsi" w:hAnsiTheme="minorHAnsi"/>
                <w:sz w:val="20"/>
                <w:szCs w:val="20"/>
              </w:rPr>
              <w:footnoteReference w:id="43"/>
            </w:r>
          </w:p>
        </w:tc>
      </w:tr>
      <w:tr w:rsidR="00096CC4" w:rsidRPr="00B63622" w:rsidTr="000115A2">
        <w:tc>
          <w:tcPr>
            <w:tcW w:w="1117" w:type="dxa"/>
            <w:vAlign w:val="center"/>
          </w:tcPr>
          <w:p w:rsidR="00096CC4" w:rsidRPr="000115A2" w:rsidRDefault="00096CC4" w:rsidP="000115A2">
            <w:pPr>
              <w:pStyle w:val="NoSpacing"/>
              <w:jc w:val="center"/>
              <w:rPr>
                <w:rFonts w:asciiTheme="minorHAnsi" w:hAnsiTheme="minorHAnsi"/>
                <w:sz w:val="20"/>
                <w:szCs w:val="20"/>
              </w:rPr>
            </w:pPr>
            <w:r w:rsidRPr="000115A2">
              <w:rPr>
                <w:rFonts w:asciiTheme="minorHAnsi" w:hAnsiTheme="minorHAnsi"/>
                <w:sz w:val="20"/>
                <w:szCs w:val="20"/>
              </w:rPr>
              <w:t>Ɛ</w:t>
            </w:r>
            <w:r w:rsidRPr="000115A2">
              <w:rPr>
                <w:rFonts w:asciiTheme="minorHAnsi" w:hAnsiTheme="minorHAnsi"/>
                <w:sz w:val="20"/>
                <w:szCs w:val="20"/>
                <w:vertAlign w:val="subscript"/>
              </w:rPr>
              <w:t>F</w:t>
            </w:r>
          </w:p>
        </w:tc>
        <w:tc>
          <w:tcPr>
            <w:tcW w:w="1562" w:type="dxa"/>
            <w:vAlign w:val="center"/>
          </w:tcPr>
          <w:p w:rsidR="00096CC4" w:rsidRPr="000115A2" w:rsidRDefault="00096CC4" w:rsidP="000115A2">
            <w:pPr>
              <w:pStyle w:val="NoSpacing"/>
              <w:jc w:val="center"/>
              <w:rPr>
                <w:rFonts w:asciiTheme="minorHAnsi" w:hAnsiTheme="minorHAnsi"/>
                <w:color w:val="000000"/>
                <w:sz w:val="20"/>
                <w:szCs w:val="20"/>
              </w:rPr>
            </w:pPr>
            <w:r w:rsidRPr="000115A2">
              <w:rPr>
                <w:rFonts w:asciiTheme="minorHAnsi" w:hAnsiTheme="minorHAnsi"/>
                <w:color w:val="000000"/>
                <w:sz w:val="20"/>
                <w:szCs w:val="20"/>
              </w:rPr>
              <w:t>tkm elasticity</w:t>
            </w:r>
          </w:p>
        </w:tc>
        <w:tc>
          <w:tcPr>
            <w:tcW w:w="1559" w:type="dxa"/>
            <w:vAlign w:val="center"/>
          </w:tcPr>
          <w:p w:rsidR="00096CC4" w:rsidRPr="000115A2" w:rsidRDefault="00096CC4" w:rsidP="000115A2">
            <w:pPr>
              <w:pStyle w:val="NoSpacing"/>
              <w:jc w:val="center"/>
              <w:rPr>
                <w:rFonts w:asciiTheme="minorHAnsi" w:hAnsiTheme="minorHAnsi"/>
                <w:color w:val="000000"/>
                <w:sz w:val="20"/>
                <w:szCs w:val="20"/>
              </w:rPr>
            </w:pPr>
            <w:r w:rsidRPr="000115A2">
              <w:rPr>
                <w:rFonts w:asciiTheme="minorHAnsi" w:hAnsiTheme="minorHAnsi"/>
                <w:color w:val="000000"/>
                <w:sz w:val="20"/>
                <w:szCs w:val="20"/>
              </w:rPr>
              <w:t>1.3 until 2020</w:t>
            </w:r>
          </w:p>
          <w:p w:rsidR="00096CC4" w:rsidRPr="000115A2" w:rsidRDefault="00096CC4" w:rsidP="000115A2">
            <w:pPr>
              <w:pStyle w:val="NoSpacing"/>
              <w:jc w:val="center"/>
              <w:rPr>
                <w:rFonts w:asciiTheme="minorHAnsi" w:hAnsiTheme="minorHAnsi"/>
                <w:color w:val="000000"/>
                <w:sz w:val="20"/>
                <w:szCs w:val="20"/>
              </w:rPr>
            </w:pPr>
            <w:r w:rsidRPr="000115A2">
              <w:rPr>
                <w:rFonts w:asciiTheme="minorHAnsi" w:hAnsiTheme="minorHAnsi"/>
                <w:color w:val="000000"/>
                <w:sz w:val="20"/>
                <w:szCs w:val="20"/>
              </w:rPr>
              <w:t>1.0 2021-2030</w:t>
            </w:r>
          </w:p>
        </w:tc>
        <w:tc>
          <w:tcPr>
            <w:tcW w:w="2126" w:type="dxa"/>
            <w:vAlign w:val="center"/>
          </w:tcPr>
          <w:p w:rsidR="00096CC4" w:rsidRPr="000115A2" w:rsidRDefault="00096CC4" w:rsidP="000115A2">
            <w:pPr>
              <w:pStyle w:val="NoSpacing"/>
              <w:jc w:val="center"/>
              <w:rPr>
                <w:rFonts w:asciiTheme="minorHAnsi" w:hAnsiTheme="minorHAnsi"/>
                <w:sz w:val="20"/>
                <w:szCs w:val="20"/>
              </w:rPr>
            </w:pPr>
            <w:r w:rsidRPr="000115A2">
              <w:rPr>
                <w:rFonts w:asciiTheme="minorHAnsi" w:hAnsiTheme="minorHAnsi"/>
                <w:sz w:val="20"/>
                <w:szCs w:val="20"/>
              </w:rPr>
              <w:t>BR, Master Plan</w:t>
            </w:r>
          </w:p>
        </w:tc>
        <w:tc>
          <w:tcPr>
            <w:tcW w:w="2632" w:type="dxa"/>
            <w:vAlign w:val="center"/>
          </w:tcPr>
          <w:p w:rsidR="00096CC4" w:rsidRPr="000115A2" w:rsidRDefault="00FC17CE" w:rsidP="000115A2">
            <w:pPr>
              <w:pStyle w:val="NoSpacing"/>
              <w:jc w:val="center"/>
              <w:rPr>
                <w:rFonts w:asciiTheme="minorHAnsi" w:hAnsiTheme="minorHAnsi"/>
                <w:sz w:val="20"/>
                <w:szCs w:val="20"/>
              </w:rPr>
            </w:pPr>
            <w:r w:rsidRPr="000115A2">
              <w:rPr>
                <w:rFonts w:asciiTheme="minorHAnsi" w:hAnsiTheme="minorHAnsi"/>
                <w:sz w:val="20"/>
                <w:szCs w:val="20"/>
              </w:rPr>
              <w:t>India has a similar elasticity of 1.0</w:t>
            </w:r>
            <w:r w:rsidRPr="000115A2">
              <w:rPr>
                <w:rStyle w:val="FootnoteReference"/>
                <w:rFonts w:asciiTheme="minorHAnsi" w:hAnsiTheme="minorHAnsi"/>
                <w:sz w:val="20"/>
                <w:szCs w:val="20"/>
              </w:rPr>
              <w:footnoteReference w:id="44"/>
            </w:r>
          </w:p>
        </w:tc>
      </w:tr>
      <w:tr w:rsidR="00096CC4" w:rsidRPr="00B63622" w:rsidTr="000115A2">
        <w:tc>
          <w:tcPr>
            <w:tcW w:w="1117" w:type="dxa"/>
            <w:vAlign w:val="center"/>
          </w:tcPr>
          <w:p w:rsidR="00096CC4" w:rsidRPr="000115A2" w:rsidRDefault="00096CC4" w:rsidP="000115A2">
            <w:pPr>
              <w:pStyle w:val="NoSpacing"/>
              <w:jc w:val="center"/>
              <w:rPr>
                <w:rFonts w:asciiTheme="minorHAnsi" w:hAnsiTheme="minorHAnsi"/>
                <w:sz w:val="20"/>
                <w:szCs w:val="20"/>
              </w:rPr>
            </w:pPr>
            <w:r w:rsidRPr="000115A2">
              <w:rPr>
                <w:rFonts w:asciiTheme="minorHAnsi" w:hAnsiTheme="minorHAnsi"/>
                <w:sz w:val="20"/>
                <w:szCs w:val="20"/>
              </w:rPr>
              <w:t>MS</w:t>
            </w:r>
            <w:r w:rsidRPr="000115A2">
              <w:rPr>
                <w:rFonts w:asciiTheme="minorHAnsi" w:hAnsiTheme="minorHAnsi"/>
                <w:sz w:val="20"/>
                <w:szCs w:val="20"/>
                <w:vertAlign w:val="subscript"/>
              </w:rPr>
              <w:t>F,T</w:t>
            </w:r>
          </w:p>
        </w:tc>
        <w:tc>
          <w:tcPr>
            <w:tcW w:w="1562" w:type="dxa"/>
            <w:vAlign w:val="center"/>
          </w:tcPr>
          <w:p w:rsidR="00096CC4" w:rsidRPr="000115A2" w:rsidRDefault="00096CC4" w:rsidP="000115A2">
            <w:pPr>
              <w:pStyle w:val="NoSpacing"/>
              <w:jc w:val="center"/>
              <w:rPr>
                <w:rFonts w:asciiTheme="minorHAnsi" w:hAnsiTheme="minorHAnsi"/>
                <w:color w:val="000000"/>
                <w:sz w:val="20"/>
                <w:szCs w:val="20"/>
              </w:rPr>
            </w:pPr>
            <w:r w:rsidRPr="000115A2">
              <w:rPr>
                <w:rFonts w:asciiTheme="minorHAnsi" w:hAnsiTheme="minorHAnsi"/>
                <w:color w:val="000000"/>
                <w:sz w:val="20"/>
                <w:szCs w:val="20"/>
              </w:rPr>
              <w:t xml:space="preserve">Mode share truck </w:t>
            </w:r>
            <w:r w:rsidR="000115A2">
              <w:rPr>
                <w:rFonts w:asciiTheme="minorHAnsi" w:hAnsiTheme="minorHAnsi"/>
                <w:color w:val="000000"/>
                <w:sz w:val="20"/>
                <w:szCs w:val="20"/>
              </w:rPr>
              <w:t xml:space="preserve">for freight </w:t>
            </w:r>
            <w:r w:rsidRPr="000115A2">
              <w:rPr>
                <w:rFonts w:asciiTheme="minorHAnsi" w:hAnsiTheme="minorHAnsi"/>
                <w:color w:val="000000"/>
                <w:sz w:val="20"/>
                <w:szCs w:val="20"/>
              </w:rPr>
              <w:t>in absence of rail</w:t>
            </w:r>
          </w:p>
        </w:tc>
        <w:tc>
          <w:tcPr>
            <w:tcW w:w="1559" w:type="dxa"/>
            <w:vAlign w:val="center"/>
          </w:tcPr>
          <w:p w:rsidR="00096CC4" w:rsidRPr="000115A2" w:rsidRDefault="00096CC4" w:rsidP="000115A2">
            <w:pPr>
              <w:pStyle w:val="NoSpacing"/>
              <w:jc w:val="center"/>
              <w:rPr>
                <w:rFonts w:asciiTheme="minorHAnsi" w:hAnsiTheme="minorHAnsi"/>
                <w:color w:val="000000"/>
                <w:sz w:val="20"/>
                <w:szCs w:val="20"/>
              </w:rPr>
            </w:pPr>
            <w:r w:rsidRPr="000115A2">
              <w:rPr>
                <w:rFonts w:asciiTheme="minorHAnsi" w:hAnsiTheme="minorHAnsi"/>
                <w:color w:val="000000"/>
                <w:sz w:val="20"/>
                <w:szCs w:val="20"/>
              </w:rPr>
              <w:t>100%</w:t>
            </w:r>
          </w:p>
        </w:tc>
        <w:tc>
          <w:tcPr>
            <w:tcW w:w="2126" w:type="dxa"/>
            <w:vAlign w:val="center"/>
          </w:tcPr>
          <w:p w:rsidR="00096CC4" w:rsidRPr="000115A2" w:rsidRDefault="00FC17CE" w:rsidP="000115A2">
            <w:pPr>
              <w:pStyle w:val="NoSpacing"/>
              <w:jc w:val="center"/>
              <w:rPr>
                <w:rFonts w:asciiTheme="minorHAnsi" w:hAnsiTheme="minorHAnsi"/>
                <w:sz w:val="20"/>
                <w:szCs w:val="20"/>
              </w:rPr>
            </w:pPr>
            <w:r w:rsidRPr="000115A2">
              <w:rPr>
                <w:rFonts w:asciiTheme="minorHAnsi" w:hAnsiTheme="minorHAnsi"/>
                <w:sz w:val="20"/>
                <w:szCs w:val="20"/>
              </w:rPr>
              <w:t>Assumption</w:t>
            </w:r>
          </w:p>
        </w:tc>
        <w:tc>
          <w:tcPr>
            <w:tcW w:w="2632" w:type="dxa"/>
            <w:vAlign w:val="center"/>
          </w:tcPr>
          <w:p w:rsidR="00096CC4" w:rsidRPr="000115A2" w:rsidRDefault="00FC17CE" w:rsidP="000115A2">
            <w:pPr>
              <w:pStyle w:val="NoSpacing"/>
              <w:jc w:val="center"/>
              <w:rPr>
                <w:rFonts w:asciiTheme="minorHAnsi" w:hAnsiTheme="minorHAnsi"/>
                <w:sz w:val="20"/>
                <w:szCs w:val="20"/>
              </w:rPr>
            </w:pPr>
            <w:r w:rsidRPr="000115A2">
              <w:rPr>
                <w:rFonts w:asciiTheme="minorHAnsi" w:hAnsiTheme="minorHAnsi"/>
                <w:sz w:val="20"/>
                <w:szCs w:val="20"/>
              </w:rPr>
              <w:t>Road has &gt; 80% of freight transport</w:t>
            </w:r>
            <w:r w:rsidRPr="000115A2">
              <w:rPr>
                <w:rStyle w:val="FootnoteReference"/>
                <w:rFonts w:asciiTheme="minorHAnsi" w:hAnsiTheme="minorHAnsi"/>
                <w:sz w:val="20"/>
                <w:szCs w:val="20"/>
              </w:rPr>
              <w:footnoteReference w:id="45"/>
            </w:r>
          </w:p>
        </w:tc>
      </w:tr>
      <w:tr w:rsidR="00096CC4" w:rsidRPr="00B63622" w:rsidTr="000115A2">
        <w:tc>
          <w:tcPr>
            <w:tcW w:w="1117" w:type="dxa"/>
            <w:vAlign w:val="center"/>
          </w:tcPr>
          <w:p w:rsidR="00096CC4" w:rsidRPr="000115A2" w:rsidRDefault="00096CC4" w:rsidP="000115A2">
            <w:pPr>
              <w:pStyle w:val="NoSpacing"/>
              <w:jc w:val="center"/>
              <w:rPr>
                <w:rFonts w:asciiTheme="minorHAnsi" w:hAnsiTheme="minorHAnsi"/>
                <w:sz w:val="20"/>
                <w:szCs w:val="20"/>
              </w:rPr>
            </w:pPr>
            <w:r w:rsidRPr="000115A2">
              <w:rPr>
                <w:rFonts w:asciiTheme="minorHAnsi" w:hAnsiTheme="minorHAnsi"/>
                <w:sz w:val="20"/>
                <w:szCs w:val="20"/>
              </w:rPr>
              <w:t>MS</w:t>
            </w:r>
            <w:r w:rsidRPr="000115A2">
              <w:rPr>
                <w:rFonts w:asciiTheme="minorHAnsi" w:hAnsiTheme="minorHAnsi"/>
                <w:sz w:val="20"/>
                <w:szCs w:val="20"/>
                <w:vertAlign w:val="subscript"/>
              </w:rPr>
              <w:t>P,B</w:t>
            </w:r>
          </w:p>
        </w:tc>
        <w:tc>
          <w:tcPr>
            <w:tcW w:w="1562" w:type="dxa"/>
            <w:vAlign w:val="center"/>
          </w:tcPr>
          <w:p w:rsidR="00096CC4" w:rsidRPr="000115A2" w:rsidRDefault="00096CC4" w:rsidP="000115A2">
            <w:pPr>
              <w:pStyle w:val="NoSpacing"/>
              <w:jc w:val="center"/>
              <w:rPr>
                <w:rFonts w:asciiTheme="minorHAnsi" w:hAnsiTheme="minorHAnsi"/>
                <w:color w:val="000000"/>
                <w:sz w:val="20"/>
                <w:szCs w:val="20"/>
              </w:rPr>
            </w:pPr>
            <w:r w:rsidRPr="000115A2">
              <w:rPr>
                <w:rFonts w:asciiTheme="minorHAnsi" w:hAnsiTheme="minorHAnsi"/>
                <w:color w:val="000000"/>
                <w:sz w:val="20"/>
                <w:szCs w:val="20"/>
              </w:rPr>
              <w:t>Mode share</w:t>
            </w:r>
            <w:r w:rsidR="000115A2">
              <w:rPr>
                <w:rFonts w:asciiTheme="minorHAnsi" w:hAnsiTheme="minorHAnsi"/>
                <w:color w:val="000000"/>
                <w:sz w:val="20"/>
                <w:szCs w:val="20"/>
              </w:rPr>
              <w:t xml:space="preserve"> </w:t>
            </w:r>
            <w:r w:rsidRPr="000115A2">
              <w:rPr>
                <w:rFonts w:asciiTheme="minorHAnsi" w:hAnsiTheme="minorHAnsi"/>
                <w:color w:val="000000"/>
                <w:sz w:val="20"/>
                <w:szCs w:val="20"/>
              </w:rPr>
              <w:t xml:space="preserve">bus </w:t>
            </w:r>
            <w:r w:rsidR="000115A2">
              <w:rPr>
                <w:rFonts w:asciiTheme="minorHAnsi" w:hAnsiTheme="minorHAnsi"/>
                <w:color w:val="000000"/>
                <w:sz w:val="20"/>
                <w:szCs w:val="20"/>
              </w:rPr>
              <w:t xml:space="preserve">for passengers </w:t>
            </w:r>
            <w:r w:rsidRPr="000115A2">
              <w:rPr>
                <w:rFonts w:asciiTheme="minorHAnsi" w:hAnsiTheme="minorHAnsi"/>
                <w:color w:val="000000"/>
                <w:sz w:val="20"/>
                <w:szCs w:val="20"/>
              </w:rPr>
              <w:t>in absence of rail</w:t>
            </w:r>
          </w:p>
        </w:tc>
        <w:tc>
          <w:tcPr>
            <w:tcW w:w="1559" w:type="dxa"/>
            <w:vAlign w:val="center"/>
          </w:tcPr>
          <w:p w:rsidR="00096CC4" w:rsidRPr="000115A2" w:rsidRDefault="00096CC4" w:rsidP="000115A2">
            <w:pPr>
              <w:pStyle w:val="NoSpacing"/>
              <w:jc w:val="center"/>
              <w:rPr>
                <w:rFonts w:asciiTheme="minorHAnsi" w:hAnsiTheme="minorHAnsi"/>
                <w:color w:val="000000"/>
                <w:sz w:val="20"/>
                <w:szCs w:val="20"/>
              </w:rPr>
            </w:pPr>
            <w:r w:rsidRPr="000115A2">
              <w:rPr>
                <w:rFonts w:asciiTheme="minorHAnsi" w:hAnsiTheme="minorHAnsi"/>
                <w:color w:val="000000"/>
                <w:sz w:val="20"/>
                <w:szCs w:val="20"/>
              </w:rPr>
              <w:t>100%</w:t>
            </w:r>
          </w:p>
        </w:tc>
        <w:tc>
          <w:tcPr>
            <w:tcW w:w="2126" w:type="dxa"/>
            <w:vAlign w:val="center"/>
          </w:tcPr>
          <w:p w:rsidR="00096CC4" w:rsidRPr="000115A2" w:rsidRDefault="00C14C7F" w:rsidP="000115A2">
            <w:pPr>
              <w:pStyle w:val="NoSpacing"/>
              <w:jc w:val="center"/>
              <w:rPr>
                <w:rFonts w:asciiTheme="minorHAnsi" w:hAnsiTheme="minorHAnsi"/>
                <w:sz w:val="20"/>
                <w:szCs w:val="20"/>
              </w:rPr>
            </w:pPr>
            <w:r>
              <w:rPr>
                <w:rFonts w:asciiTheme="minorHAnsi" w:hAnsiTheme="minorHAnsi"/>
                <w:sz w:val="20"/>
                <w:szCs w:val="20"/>
              </w:rPr>
              <w:t>Grütter</w:t>
            </w:r>
            <w:r w:rsidR="00096CC4" w:rsidRPr="000115A2">
              <w:rPr>
                <w:rFonts w:asciiTheme="minorHAnsi" w:hAnsiTheme="minorHAnsi"/>
                <w:sz w:val="20"/>
                <w:szCs w:val="20"/>
              </w:rPr>
              <w:t xml:space="preserve"> Consulting, 2016c</w:t>
            </w:r>
          </w:p>
        </w:tc>
        <w:tc>
          <w:tcPr>
            <w:tcW w:w="2632" w:type="dxa"/>
            <w:vAlign w:val="center"/>
          </w:tcPr>
          <w:p w:rsidR="00096CC4" w:rsidRPr="000115A2" w:rsidRDefault="00FC17CE" w:rsidP="000115A2">
            <w:pPr>
              <w:pStyle w:val="NoSpacing"/>
              <w:jc w:val="center"/>
              <w:rPr>
                <w:rFonts w:asciiTheme="minorHAnsi" w:hAnsiTheme="minorHAnsi"/>
                <w:sz w:val="20"/>
                <w:szCs w:val="20"/>
              </w:rPr>
            </w:pPr>
            <w:r w:rsidRPr="000115A2">
              <w:rPr>
                <w:rFonts w:asciiTheme="minorHAnsi" w:hAnsiTheme="minorHAnsi"/>
                <w:sz w:val="20"/>
                <w:szCs w:val="20"/>
              </w:rPr>
              <w:t>This value might change over time due to increased income levels and access to private vehicles</w:t>
            </w:r>
          </w:p>
        </w:tc>
      </w:tr>
    </w:tbl>
    <w:p w:rsidR="00D0623E" w:rsidRDefault="00D0623E" w:rsidP="00D0623E">
      <w:pPr>
        <w:pStyle w:val="NoSpacing"/>
      </w:pPr>
    </w:p>
    <w:p w:rsidR="00740314" w:rsidRDefault="00740314" w:rsidP="00740314">
      <w:pPr>
        <w:jc w:val="both"/>
      </w:pPr>
      <w:r>
        <w:lastRenderedPageBreak/>
        <w:t>A constant efficiency per tkm and pkm is assumed for all modes of transport.</w:t>
      </w:r>
      <w:r w:rsidRPr="00740314">
        <w:t xml:space="preserve"> </w:t>
      </w:r>
      <w:r>
        <w:t>For the NAMA it is proposed to monitor core parameters required for the EF per pkm and tkm every 5 years. A constant level is assumed due to following factors which offset each other:</w:t>
      </w:r>
    </w:p>
    <w:p w:rsidR="00740314" w:rsidRDefault="00740314" w:rsidP="00740314">
      <w:pPr>
        <w:pStyle w:val="ListParagraph"/>
        <w:numPr>
          <w:ilvl w:val="0"/>
          <w:numId w:val="14"/>
        </w:numPr>
        <w:jc w:val="both"/>
        <w:rPr>
          <w:lang w:val="en-GB"/>
        </w:rPr>
      </w:pPr>
      <w:r>
        <w:rPr>
          <w:lang w:val="en-GB"/>
        </w:rPr>
        <w:t xml:space="preserve">Over time passengers will demand </w:t>
      </w:r>
      <w:r w:rsidRPr="0069542F">
        <w:rPr>
          <w:lang w:val="en-GB"/>
        </w:rPr>
        <w:t>higher passenger comfort buses including AC</w:t>
      </w:r>
      <w:r>
        <w:rPr>
          <w:lang w:val="en-GB"/>
        </w:rPr>
        <w:t xml:space="preserve"> and eventually more space. These two factors will increase specific fuel consumption of buses.</w:t>
      </w:r>
    </w:p>
    <w:p w:rsidR="00740314" w:rsidRPr="0069542F" w:rsidRDefault="00740314" w:rsidP="00740314">
      <w:pPr>
        <w:pStyle w:val="ListParagraph"/>
        <w:numPr>
          <w:ilvl w:val="0"/>
          <w:numId w:val="14"/>
        </w:numPr>
        <w:jc w:val="both"/>
        <w:rPr>
          <w:lang w:val="en-GB"/>
        </w:rPr>
      </w:pPr>
      <w:r>
        <w:rPr>
          <w:lang w:val="en-GB"/>
        </w:rPr>
        <w:t>H</w:t>
      </w:r>
      <w:r w:rsidRPr="0069542F">
        <w:rPr>
          <w:lang w:val="en-GB"/>
        </w:rPr>
        <w:t xml:space="preserve">igher </w:t>
      </w:r>
      <w:r>
        <w:rPr>
          <w:lang w:val="en-GB"/>
        </w:rPr>
        <w:t xml:space="preserve">average driving </w:t>
      </w:r>
      <w:r w:rsidRPr="0069542F">
        <w:rPr>
          <w:lang w:val="en-GB"/>
        </w:rPr>
        <w:t xml:space="preserve">speed </w:t>
      </w:r>
      <w:r>
        <w:rPr>
          <w:lang w:val="en-GB"/>
        </w:rPr>
        <w:t>and te</w:t>
      </w:r>
      <w:r w:rsidR="00C14C7F">
        <w:rPr>
          <w:lang w:val="en-GB"/>
        </w:rPr>
        <w:t>chnology renewal will lead to a decreas</w:t>
      </w:r>
      <w:r>
        <w:rPr>
          <w:lang w:val="en-GB"/>
        </w:rPr>
        <w:t xml:space="preserve"> of </w:t>
      </w:r>
      <w:r w:rsidRPr="0069542F">
        <w:rPr>
          <w:lang w:val="en-GB"/>
        </w:rPr>
        <w:t xml:space="preserve">SFC </w:t>
      </w:r>
      <w:r>
        <w:rPr>
          <w:lang w:val="en-GB"/>
        </w:rPr>
        <w:t>of buses and trucks</w:t>
      </w:r>
      <w:r w:rsidRPr="0069542F">
        <w:rPr>
          <w:lang w:val="en-GB"/>
        </w:rPr>
        <w:t>.</w:t>
      </w:r>
    </w:p>
    <w:p w:rsidR="00740314" w:rsidRDefault="00740314" w:rsidP="00740314">
      <w:pPr>
        <w:pStyle w:val="ListParagraph"/>
        <w:numPr>
          <w:ilvl w:val="0"/>
          <w:numId w:val="14"/>
        </w:numPr>
        <w:jc w:val="both"/>
        <w:rPr>
          <w:lang w:val="en-GB"/>
        </w:rPr>
      </w:pPr>
      <w:r>
        <w:rPr>
          <w:lang w:val="en-GB"/>
        </w:rPr>
        <w:t>Truck average size might increase resulting in higher amounts of commodities to be transported thus reducing SFC per tkm</w:t>
      </w:r>
      <w:r w:rsidRPr="0069542F">
        <w:rPr>
          <w:lang w:val="en-GB"/>
        </w:rPr>
        <w:t>.</w:t>
      </w:r>
      <w:r>
        <w:rPr>
          <w:lang w:val="en-GB"/>
        </w:rPr>
        <w:t xml:space="preserve"> On the other hand</w:t>
      </w:r>
      <w:r w:rsidR="00C14C7F">
        <w:rPr>
          <w:lang w:val="en-GB"/>
        </w:rPr>
        <w:t>,</w:t>
      </w:r>
      <w:r>
        <w:rPr>
          <w:lang w:val="en-GB"/>
        </w:rPr>
        <w:t xml:space="preserve"> the current average load factor is very high and will tend to drop with higher wages and more requirements on quick delivery thus increasing emission per tkm.</w:t>
      </w:r>
    </w:p>
    <w:p w:rsidR="00740314" w:rsidRPr="00B63622" w:rsidRDefault="00740314" w:rsidP="00D0623E">
      <w:pPr>
        <w:pStyle w:val="ListParagraph"/>
        <w:numPr>
          <w:ilvl w:val="0"/>
          <w:numId w:val="14"/>
        </w:numPr>
        <w:jc w:val="both"/>
        <w:rPr>
          <w:lang w:val="en-GB"/>
        </w:rPr>
      </w:pPr>
      <w:r>
        <w:rPr>
          <w:lang w:val="en-GB"/>
        </w:rPr>
        <w:t>Rail efficiency in terms of fuel consumption per engine-km could improve due to new technologies and improved maintenance. On the other hand</w:t>
      </w:r>
      <w:r w:rsidR="00C14C7F">
        <w:rPr>
          <w:lang w:val="en-GB"/>
        </w:rPr>
        <w:t>,</w:t>
      </w:r>
      <w:r>
        <w:rPr>
          <w:lang w:val="en-GB"/>
        </w:rPr>
        <w:t xml:space="preserve"> increased comfort levels for passengers including AC and more space as well as increased average speed could offset again these efficiency gains.</w:t>
      </w:r>
      <w:r w:rsidRPr="0069542F">
        <w:rPr>
          <w:lang w:val="en-GB"/>
        </w:rPr>
        <w:t xml:space="preserve"> </w:t>
      </w:r>
    </w:p>
    <w:p w:rsidR="00867C37" w:rsidRDefault="00867C37" w:rsidP="00867C37">
      <w:pPr>
        <w:pStyle w:val="Heading2"/>
        <w:numPr>
          <w:ilvl w:val="1"/>
          <w:numId w:val="1"/>
        </w:numPr>
      </w:pPr>
      <w:bookmarkStart w:id="18" w:name="_Toc466207344"/>
      <w:r>
        <w:t>GHG Mitigation Impact</w:t>
      </w:r>
      <w:bookmarkEnd w:id="18"/>
    </w:p>
    <w:p w:rsidR="00867C37" w:rsidRDefault="00867C37" w:rsidP="00867C37"/>
    <w:p w:rsidR="00B33658" w:rsidRDefault="00B33658" w:rsidP="00B33658">
      <w:pPr>
        <w:jc w:val="both"/>
      </w:pPr>
      <w:r>
        <w:t>The mitigation impact is a resultant of differential GHG emission factors per pkm and tkm of rail versus road transport as can be seen from the following graph.</w:t>
      </w:r>
    </w:p>
    <w:p w:rsidR="00B33658" w:rsidRPr="007E2FCA" w:rsidRDefault="00B33658" w:rsidP="007E2FCA">
      <w:pPr>
        <w:pStyle w:val="NoSpacing"/>
        <w:rPr>
          <w:b/>
          <w:sz w:val="20"/>
        </w:rPr>
      </w:pPr>
      <w:r w:rsidRPr="007E2FCA">
        <w:rPr>
          <w:b/>
          <w:sz w:val="20"/>
        </w:rPr>
        <w:t xml:space="preserve">Figure </w:t>
      </w:r>
      <w:r w:rsidRPr="007E2FCA">
        <w:rPr>
          <w:b/>
          <w:sz w:val="20"/>
        </w:rPr>
        <w:fldChar w:fldCharType="begin"/>
      </w:r>
      <w:r w:rsidRPr="007E2FCA">
        <w:rPr>
          <w:b/>
          <w:sz w:val="20"/>
        </w:rPr>
        <w:instrText xml:space="preserve"> SEQ Figure \* ARABIC </w:instrText>
      </w:r>
      <w:r w:rsidRPr="007E2FCA">
        <w:rPr>
          <w:b/>
          <w:sz w:val="20"/>
        </w:rPr>
        <w:fldChar w:fldCharType="separate"/>
      </w:r>
      <w:r w:rsidR="00AC6EDE">
        <w:rPr>
          <w:b/>
          <w:noProof/>
          <w:sz w:val="20"/>
        </w:rPr>
        <w:t>12</w:t>
      </w:r>
      <w:r w:rsidRPr="007E2FCA">
        <w:rPr>
          <w:b/>
          <w:sz w:val="20"/>
        </w:rPr>
        <w:fldChar w:fldCharType="end"/>
      </w:r>
      <w:r w:rsidRPr="007E2FCA">
        <w:rPr>
          <w:b/>
          <w:sz w:val="20"/>
        </w:rPr>
        <w:t>: Emission Factor per pkm and per tkm Road versus Rail, Bangladesh 2015 (gCO</w:t>
      </w:r>
      <w:r w:rsidR="007E2FCA">
        <w:rPr>
          <w:b/>
          <w:sz w:val="20"/>
          <w:vertAlign w:val="subscript"/>
        </w:rPr>
        <w:t>2</w:t>
      </w:r>
      <w:r w:rsidRPr="007E2FCA">
        <w:rPr>
          <w:b/>
          <w:sz w:val="20"/>
        </w:rPr>
        <w:t>, TTW)</w:t>
      </w:r>
    </w:p>
    <w:p w:rsidR="007E2FCA" w:rsidRPr="007E2FCA" w:rsidRDefault="007E2FCA" w:rsidP="007E2FCA">
      <w:pPr>
        <w:pStyle w:val="NoSpacing"/>
        <w:rPr>
          <w:sz w:val="20"/>
        </w:rPr>
      </w:pPr>
      <w:r w:rsidRPr="007E2FCA">
        <w:rPr>
          <w:noProof/>
          <w:sz w:val="20"/>
          <w:lang w:eastAsia="en-GB"/>
        </w:rPr>
        <w:drawing>
          <wp:inline distT="0" distB="0" distL="0" distR="0" wp14:anchorId="19FC429B" wp14:editId="7D93F27F">
            <wp:extent cx="4572000" cy="2743200"/>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B33658" w:rsidRPr="00B33658" w:rsidRDefault="00B33658" w:rsidP="007E2FCA">
      <w:pPr>
        <w:pStyle w:val="NoSpacing"/>
      </w:pPr>
      <w:r w:rsidRPr="007E2FCA">
        <w:rPr>
          <w:sz w:val="20"/>
        </w:rPr>
        <w:t xml:space="preserve">Source: </w:t>
      </w:r>
      <w:r w:rsidR="00C14C7F">
        <w:rPr>
          <w:sz w:val="20"/>
        </w:rPr>
        <w:t>Grütter</w:t>
      </w:r>
      <w:r w:rsidRPr="007E2FCA">
        <w:rPr>
          <w:sz w:val="20"/>
        </w:rPr>
        <w:t xml:space="preserve"> Consulting (see Table </w:t>
      </w:r>
      <w:r w:rsidR="007E2FCA">
        <w:rPr>
          <w:sz w:val="20"/>
        </w:rPr>
        <w:t>a</w:t>
      </w:r>
      <w:r w:rsidRPr="007E2FCA">
        <w:rPr>
          <w:sz w:val="20"/>
        </w:rPr>
        <w:t>bove for data sources)</w:t>
      </w:r>
    </w:p>
    <w:p w:rsidR="00740314" w:rsidRDefault="00740314" w:rsidP="00740314">
      <w:pPr>
        <w:pStyle w:val="NoSpacing"/>
      </w:pPr>
    </w:p>
    <w:p w:rsidR="000C49F8" w:rsidRDefault="007E2FCA" w:rsidP="007E2FCA">
      <w:pPr>
        <w:jc w:val="both"/>
      </w:pPr>
      <w:r>
        <w:t>For passenger transport rail is 3</w:t>
      </w:r>
      <w:r w:rsidR="00C14C7F">
        <w:t>x</w:t>
      </w:r>
      <w:r>
        <w:t xml:space="preserve"> more efficient in terms of GHG emissions and for freight transport factor 8</w:t>
      </w:r>
      <w:r w:rsidR="00C14C7F">
        <w:t xml:space="preserve"> more efficient</w:t>
      </w:r>
      <w:r>
        <w:t xml:space="preserve">. Using a WTW approach and including Black Carbon </w:t>
      </w:r>
      <w:r w:rsidR="00C14C7F">
        <w:t xml:space="preserve">road based </w:t>
      </w:r>
      <w:r>
        <w:t xml:space="preserve">passenger transport </w:t>
      </w:r>
      <w:r w:rsidR="00C14C7F">
        <w:t xml:space="preserve">has </w:t>
      </w:r>
      <w:r>
        <w:t>52 gCO</w:t>
      </w:r>
      <w:r w:rsidRPr="007E2FCA">
        <w:rPr>
          <w:vertAlign w:val="subscript"/>
        </w:rPr>
        <w:t>2e</w:t>
      </w:r>
      <w:r>
        <w:t>/pkm versus 16 gCO</w:t>
      </w:r>
      <w:r w:rsidRPr="007E2FCA">
        <w:rPr>
          <w:vertAlign w:val="subscript"/>
        </w:rPr>
        <w:t>2e</w:t>
      </w:r>
      <w:r>
        <w:t xml:space="preserve">/pkm for rail and </w:t>
      </w:r>
      <w:r w:rsidR="00C14C7F">
        <w:t xml:space="preserve">road based </w:t>
      </w:r>
      <w:r>
        <w:t xml:space="preserve">freight transport </w:t>
      </w:r>
      <w:r w:rsidR="00C14C7F">
        <w:t xml:space="preserve">results in </w:t>
      </w:r>
      <w:r>
        <w:t>152 gCO</w:t>
      </w:r>
      <w:r w:rsidRPr="007E2FCA">
        <w:rPr>
          <w:vertAlign w:val="subscript"/>
        </w:rPr>
        <w:t>2e</w:t>
      </w:r>
      <w:r>
        <w:t>/tkm versus 18 gCO</w:t>
      </w:r>
      <w:r w:rsidRPr="007E2FCA">
        <w:rPr>
          <w:vertAlign w:val="subscript"/>
        </w:rPr>
        <w:t>2e</w:t>
      </w:r>
      <w:r>
        <w:t xml:space="preserve">/tkm </w:t>
      </w:r>
      <w:r w:rsidR="00C14C7F">
        <w:t>when using</w:t>
      </w:r>
      <w:r>
        <w:t xml:space="preserve"> rail.</w:t>
      </w:r>
    </w:p>
    <w:p w:rsidR="000C49F8" w:rsidRDefault="007E2FCA" w:rsidP="005F54C1">
      <w:pPr>
        <w:jc w:val="both"/>
      </w:pPr>
      <w:r>
        <w:t xml:space="preserve">The following figure shows forecasted baseline </w:t>
      </w:r>
      <w:r w:rsidR="005F54C1">
        <w:t xml:space="preserve">and NAMA </w:t>
      </w:r>
      <w:r>
        <w:t>GHG</w:t>
      </w:r>
      <w:r w:rsidR="005F54C1">
        <w:t xml:space="preserve"> emissions TTW and WTW including BC.</w:t>
      </w:r>
    </w:p>
    <w:p w:rsidR="005F54C1" w:rsidRPr="005F54C1" w:rsidRDefault="00187E68" w:rsidP="005F54C1">
      <w:pPr>
        <w:pStyle w:val="NoSpacing"/>
        <w:rPr>
          <w:b/>
          <w:sz w:val="20"/>
        </w:rPr>
      </w:pPr>
      <w:r>
        <w:rPr>
          <w:b/>
          <w:sz w:val="20"/>
        </w:rPr>
        <w:br w:type="column"/>
      </w:r>
      <w:r w:rsidR="005F54C1" w:rsidRPr="005F54C1">
        <w:rPr>
          <w:b/>
          <w:sz w:val="20"/>
        </w:rPr>
        <w:lastRenderedPageBreak/>
        <w:t xml:space="preserve">Figure </w:t>
      </w:r>
      <w:r w:rsidR="005F54C1" w:rsidRPr="005F54C1">
        <w:rPr>
          <w:b/>
          <w:sz w:val="20"/>
        </w:rPr>
        <w:fldChar w:fldCharType="begin"/>
      </w:r>
      <w:r w:rsidR="005F54C1" w:rsidRPr="005F54C1">
        <w:rPr>
          <w:b/>
          <w:sz w:val="20"/>
        </w:rPr>
        <w:instrText xml:space="preserve"> SEQ Figure \* ARABIC </w:instrText>
      </w:r>
      <w:r w:rsidR="005F54C1" w:rsidRPr="005F54C1">
        <w:rPr>
          <w:b/>
          <w:sz w:val="20"/>
        </w:rPr>
        <w:fldChar w:fldCharType="separate"/>
      </w:r>
      <w:r w:rsidR="00AC6EDE">
        <w:rPr>
          <w:b/>
          <w:noProof/>
          <w:sz w:val="20"/>
        </w:rPr>
        <w:t>13</w:t>
      </w:r>
      <w:r w:rsidR="005F54C1" w:rsidRPr="005F54C1">
        <w:rPr>
          <w:b/>
          <w:sz w:val="20"/>
        </w:rPr>
        <w:fldChar w:fldCharType="end"/>
      </w:r>
      <w:r w:rsidR="005F54C1" w:rsidRPr="005F54C1">
        <w:rPr>
          <w:b/>
          <w:sz w:val="20"/>
        </w:rPr>
        <w:t>: GHG Emissions Baseline and NAMA, Inter-Urban Rail Transport Bangladesh (tCO</w:t>
      </w:r>
      <w:r w:rsidR="005F54C1" w:rsidRPr="005F54C1">
        <w:rPr>
          <w:b/>
          <w:sz w:val="20"/>
          <w:vertAlign w:val="subscript"/>
        </w:rPr>
        <w:t>2e</w:t>
      </w:r>
      <w:r w:rsidR="005F54C1" w:rsidRPr="005F54C1">
        <w:rPr>
          <w:b/>
          <w:sz w:val="20"/>
        </w:rPr>
        <w:t>)</w:t>
      </w:r>
    </w:p>
    <w:p w:rsidR="005F54C1" w:rsidRDefault="005F54C1" w:rsidP="005F54C1">
      <w:pPr>
        <w:pStyle w:val="NoSpacing"/>
      </w:pPr>
      <w:r>
        <w:rPr>
          <w:noProof/>
          <w:lang w:eastAsia="en-GB"/>
        </w:rPr>
        <w:drawing>
          <wp:inline distT="0" distB="0" distL="0" distR="0" wp14:anchorId="2FCAE933" wp14:editId="16611522">
            <wp:extent cx="5731510" cy="2400935"/>
            <wp:effectExtent l="0" t="0" r="2540" b="18415"/>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F54C1" w:rsidRPr="00704742" w:rsidRDefault="005F54C1" w:rsidP="005F54C1">
      <w:pPr>
        <w:pStyle w:val="NoSpacing"/>
        <w:rPr>
          <w:sz w:val="20"/>
        </w:rPr>
      </w:pPr>
      <w:r w:rsidRPr="00704742">
        <w:rPr>
          <w:sz w:val="20"/>
        </w:rPr>
        <w:t xml:space="preserve">Source: </w:t>
      </w:r>
      <w:r w:rsidR="00C14C7F" w:rsidRPr="00704742">
        <w:rPr>
          <w:sz w:val="20"/>
        </w:rPr>
        <w:t>Grütter</w:t>
      </w:r>
      <w:r w:rsidRPr="00704742">
        <w:rPr>
          <w:sz w:val="20"/>
        </w:rPr>
        <w:t xml:space="preserve"> Consulting</w:t>
      </w:r>
    </w:p>
    <w:p w:rsidR="005F54C1" w:rsidRDefault="005F54C1" w:rsidP="00740314">
      <w:pPr>
        <w:pStyle w:val="NoSpacing"/>
      </w:pPr>
    </w:p>
    <w:p w:rsidR="000C49F8" w:rsidRDefault="005F54C1" w:rsidP="005F54C1">
      <w:pPr>
        <w:jc w:val="both"/>
      </w:pPr>
      <w:r>
        <w:t>The GHG mitigation impact increases over time due to gradual implementation of the different actions planned. The following table</w:t>
      </w:r>
      <w:r w:rsidR="000C49F8">
        <w:t xml:space="preserve"> </w:t>
      </w:r>
      <w:r>
        <w:t>summarizes the GHG impacts. For details see Annex 1.</w:t>
      </w:r>
    </w:p>
    <w:p w:rsidR="000C49F8" w:rsidRPr="00187E68" w:rsidRDefault="00187E68" w:rsidP="00187E68">
      <w:pPr>
        <w:pStyle w:val="NoSpacing"/>
        <w:rPr>
          <w:b/>
          <w:sz w:val="20"/>
          <w:szCs w:val="20"/>
        </w:rPr>
      </w:pPr>
      <w:r w:rsidRPr="00187E68">
        <w:rPr>
          <w:b/>
          <w:sz w:val="20"/>
          <w:szCs w:val="20"/>
        </w:rPr>
        <w:t xml:space="preserve">Table </w:t>
      </w:r>
      <w:r w:rsidRPr="00187E68">
        <w:rPr>
          <w:b/>
          <w:sz w:val="20"/>
          <w:szCs w:val="20"/>
        </w:rPr>
        <w:fldChar w:fldCharType="begin"/>
      </w:r>
      <w:r w:rsidRPr="00187E68">
        <w:rPr>
          <w:b/>
          <w:sz w:val="20"/>
          <w:szCs w:val="20"/>
        </w:rPr>
        <w:instrText xml:space="preserve"> SEQ Table \* ARABIC </w:instrText>
      </w:r>
      <w:r w:rsidRPr="00187E68">
        <w:rPr>
          <w:b/>
          <w:sz w:val="20"/>
          <w:szCs w:val="20"/>
        </w:rPr>
        <w:fldChar w:fldCharType="separate"/>
      </w:r>
      <w:r w:rsidR="00AC6EDE">
        <w:rPr>
          <w:b/>
          <w:noProof/>
          <w:sz w:val="20"/>
          <w:szCs w:val="20"/>
        </w:rPr>
        <w:t>5</w:t>
      </w:r>
      <w:r w:rsidRPr="00187E68">
        <w:rPr>
          <w:b/>
          <w:sz w:val="20"/>
          <w:szCs w:val="20"/>
        </w:rPr>
        <w:fldChar w:fldCharType="end"/>
      </w:r>
      <w:r w:rsidR="005F54C1" w:rsidRPr="00187E68">
        <w:rPr>
          <w:b/>
          <w:sz w:val="20"/>
          <w:szCs w:val="20"/>
        </w:rPr>
        <w:t>: GHG Impacts</w:t>
      </w:r>
    </w:p>
    <w:tbl>
      <w:tblPr>
        <w:tblStyle w:val="TableGrid"/>
        <w:tblW w:w="0" w:type="auto"/>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3393"/>
        <w:gridCol w:w="1699"/>
        <w:gridCol w:w="1662"/>
        <w:gridCol w:w="2252"/>
      </w:tblGrid>
      <w:tr w:rsidR="005F54C1" w:rsidRPr="005F54C1" w:rsidTr="005F54C1">
        <w:tc>
          <w:tcPr>
            <w:tcW w:w="3393" w:type="dxa"/>
            <w:shd w:val="clear" w:color="auto" w:fill="DEEAF6" w:themeFill="accent1" w:themeFillTint="33"/>
          </w:tcPr>
          <w:p w:rsidR="005F54C1" w:rsidRPr="005F54C1" w:rsidRDefault="005F54C1" w:rsidP="005F54C1">
            <w:pPr>
              <w:pStyle w:val="NoSpacing"/>
              <w:rPr>
                <w:b/>
                <w:sz w:val="20"/>
              </w:rPr>
            </w:pPr>
            <w:r w:rsidRPr="005F54C1">
              <w:rPr>
                <w:b/>
                <w:sz w:val="20"/>
              </w:rPr>
              <w:t>Parameter</w:t>
            </w:r>
          </w:p>
        </w:tc>
        <w:tc>
          <w:tcPr>
            <w:tcW w:w="1699" w:type="dxa"/>
            <w:shd w:val="clear" w:color="auto" w:fill="DEEAF6" w:themeFill="accent1" w:themeFillTint="33"/>
          </w:tcPr>
          <w:p w:rsidR="005F54C1" w:rsidRPr="005F54C1" w:rsidRDefault="005F54C1" w:rsidP="005F54C1">
            <w:pPr>
              <w:pStyle w:val="NoSpacing"/>
              <w:jc w:val="center"/>
              <w:rPr>
                <w:b/>
                <w:sz w:val="20"/>
              </w:rPr>
            </w:pPr>
            <w:r w:rsidRPr="005F54C1">
              <w:rPr>
                <w:b/>
                <w:sz w:val="20"/>
              </w:rPr>
              <w:t>Average annual</w:t>
            </w:r>
          </w:p>
        </w:tc>
        <w:tc>
          <w:tcPr>
            <w:tcW w:w="1662" w:type="dxa"/>
            <w:shd w:val="clear" w:color="auto" w:fill="DEEAF6" w:themeFill="accent1" w:themeFillTint="33"/>
          </w:tcPr>
          <w:p w:rsidR="005F54C1" w:rsidRPr="005F54C1" w:rsidRDefault="005F54C1" w:rsidP="005F54C1">
            <w:pPr>
              <w:pStyle w:val="NoSpacing"/>
              <w:jc w:val="center"/>
              <w:rPr>
                <w:b/>
                <w:sz w:val="20"/>
              </w:rPr>
            </w:pPr>
            <w:r w:rsidRPr="005F54C1">
              <w:rPr>
                <w:b/>
                <w:sz w:val="20"/>
              </w:rPr>
              <w:t>Year 2030</w:t>
            </w:r>
          </w:p>
        </w:tc>
        <w:tc>
          <w:tcPr>
            <w:tcW w:w="2252" w:type="dxa"/>
            <w:shd w:val="clear" w:color="auto" w:fill="DEEAF6" w:themeFill="accent1" w:themeFillTint="33"/>
          </w:tcPr>
          <w:p w:rsidR="005F54C1" w:rsidRPr="005F54C1" w:rsidRDefault="005F54C1" w:rsidP="005F54C1">
            <w:pPr>
              <w:pStyle w:val="NoSpacing"/>
              <w:jc w:val="center"/>
              <w:rPr>
                <w:b/>
                <w:sz w:val="20"/>
              </w:rPr>
            </w:pPr>
            <w:r w:rsidRPr="005F54C1">
              <w:rPr>
                <w:b/>
                <w:sz w:val="20"/>
              </w:rPr>
              <w:t>Cumulative 2017-2030</w:t>
            </w:r>
          </w:p>
        </w:tc>
      </w:tr>
      <w:tr w:rsidR="005F54C1" w:rsidRPr="005F54C1" w:rsidTr="0087460A">
        <w:tc>
          <w:tcPr>
            <w:tcW w:w="3393" w:type="dxa"/>
          </w:tcPr>
          <w:p w:rsidR="005F54C1" w:rsidRPr="005F54C1" w:rsidRDefault="005F54C1" w:rsidP="005F54C1">
            <w:pPr>
              <w:pStyle w:val="NoSpacing"/>
              <w:rPr>
                <w:sz w:val="20"/>
              </w:rPr>
            </w:pPr>
            <w:r w:rsidRPr="005F54C1">
              <w:rPr>
                <w:sz w:val="20"/>
              </w:rPr>
              <w:t>GHG Reduction TTW in tCO</w:t>
            </w:r>
            <w:r w:rsidRPr="005F54C1">
              <w:rPr>
                <w:sz w:val="20"/>
                <w:vertAlign w:val="subscript"/>
              </w:rPr>
              <w:t>2</w:t>
            </w:r>
          </w:p>
        </w:tc>
        <w:tc>
          <w:tcPr>
            <w:tcW w:w="1699" w:type="dxa"/>
            <w:vAlign w:val="bottom"/>
          </w:tcPr>
          <w:p w:rsidR="005F54C1" w:rsidRPr="005F54C1" w:rsidRDefault="005F54C1" w:rsidP="005F54C1">
            <w:pPr>
              <w:jc w:val="center"/>
              <w:rPr>
                <w:rFonts w:ascii="Calibri" w:hAnsi="Calibri"/>
                <w:color w:val="000000"/>
                <w:sz w:val="20"/>
              </w:rPr>
            </w:pPr>
            <w:r>
              <w:rPr>
                <w:rFonts w:ascii="Calibri" w:hAnsi="Calibri"/>
                <w:color w:val="000000"/>
                <w:sz w:val="20"/>
              </w:rPr>
              <w:t>145,000</w:t>
            </w:r>
          </w:p>
        </w:tc>
        <w:tc>
          <w:tcPr>
            <w:tcW w:w="1662" w:type="dxa"/>
            <w:vAlign w:val="bottom"/>
          </w:tcPr>
          <w:p w:rsidR="005F54C1" w:rsidRPr="005F54C1" w:rsidRDefault="005F54C1" w:rsidP="005F54C1">
            <w:pPr>
              <w:jc w:val="center"/>
              <w:rPr>
                <w:rFonts w:ascii="Calibri" w:hAnsi="Calibri"/>
                <w:color w:val="000000"/>
                <w:sz w:val="20"/>
              </w:rPr>
            </w:pPr>
            <w:r>
              <w:rPr>
                <w:rFonts w:ascii="Calibri" w:hAnsi="Calibri"/>
                <w:color w:val="000000"/>
                <w:sz w:val="20"/>
              </w:rPr>
              <w:t>299,000</w:t>
            </w:r>
          </w:p>
        </w:tc>
        <w:tc>
          <w:tcPr>
            <w:tcW w:w="2252" w:type="dxa"/>
            <w:vAlign w:val="bottom"/>
          </w:tcPr>
          <w:p w:rsidR="005F54C1" w:rsidRPr="005F54C1" w:rsidRDefault="005F54C1" w:rsidP="005F54C1">
            <w:pPr>
              <w:jc w:val="center"/>
              <w:rPr>
                <w:rFonts w:ascii="Calibri" w:hAnsi="Calibri"/>
                <w:color w:val="000000"/>
                <w:sz w:val="20"/>
              </w:rPr>
            </w:pPr>
            <w:r>
              <w:rPr>
                <w:rFonts w:ascii="Calibri" w:hAnsi="Calibri"/>
                <w:color w:val="000000"/>
                <w:sz w:val="20"/>
              </w:rPr>
              <w:t>2,020,000</w:t>
            </w:r>
          </w:p>
        </w:tc>
      </w:tr>
      <w:tr w:rsidR="005F54C1" w:rsidRPr="005F54C1" w:rsidTr="0087460A">
        <w:tc>
          <w:tcPr>
            <w:tcW w:w="3393" w:type="dxa"/>
          </w:tcPr>
          <w:p w:rsidR="005F54C1" w:rsidRPr="005F54C1" w:rsidRDefault="005F54C1" w:rsidP="005F54C1">
            <w:pPr>
              <w:pStyle w:val="NoSpacing"/>
              <w:rPr>
                <w:sz w:val="20"/>
              </w:rPr>
            </w:pPr>
            <w:r w:rsidRPr="005F54C1">
              <w:rPr>
                <w:sz w:val="20"/>
              </w:rPr>
              <w:t>GHG reduction WTW in tCO</w:t>
            </w:r>
            <w:r w:rsidRPr="005F54C1">
              <w:rPr>
                <w:sz w:val="20"/>
                <w:vertAlign w:val="subscript"/>
              </w:rPr>
              <w:t>2e</w:t>
            </w:r>
          </w:p>
        </w:tc>
        <w:tc>
          <w:tcPr>
            <w:tcW w:w="1699" w:type="dxa"/>
            <w:vAlign w:val="bottom"/>
          </w:tcPr>
          <w:p w:rsidR="005F54C1" w:rsidRPr="005F54C1" w:rsidRDefault="005F54C1" w:rsidP="005F54C1">
            <w:pPr>
              <w:jc w:val="center"/>
              <w:rPr>
                <w:rFonts w:ascii="Calibri" w:hAnsi="Calibri"/>
                <w:color w:val="000000"/>
                <w:sz w:val="20"/>
              </w:rPr>
            </w:pPr>
            <w:r>
              <w:rPr>
                <w:rFonts w:ascii="Calibri" w:hAnsi="Calibri"/>
                <w:color w:val="000000"/>
                <w:sz w:val="20"/>
              </w:rPr>
              <w:t>181,000</w:t>
            </w:r>
          </w:p>
        </w:tc>
        <w:tc>
          <w:tcPr>
            <w:tcW w:w="1662" w:type="dxa"/>
            <w:vAlign w:val="bottom"/>
          </w:tcPr>
          <w:p w:rsidR="005F54C1" w:rsidRPr="005F54C1" w:rsidRDefault="005F54C1" w:rsidP="005F54C1">
            <w:pPr>
              <w:jc w:val="center"/>
              <w:rPr>
                <w:rFonts w:ascii="Calibri" w:hAnsi="Calibri"/>
                <w:color w:val="000000"/>
                <w:sz w:val="20"/>
              </w:rPr>
            </w:pPr>
            <w:r>
              <w:rPr>
                <w:rFonts w:ascii="Calibri" w:hAnsi="Calibri"/>
                <w:color w:val="000000"/>
                <w:sz w:val="20"/>
              </w:rPr>
              <w:t>373,000</w:t>
            </w:r>
          </w:p>
        </w:tc>
        <w:tc>
          <w:tcPr>
            <w:tcW w:w="2252" w:type="dxa"/>
            <w:vAlign w:val="bottom"/>
          </w:tcPr>
          <w:p w:rsidR="005F54C1" w:rsidRPr="005F54C1" w:rsidRDefault="005F54C1" w:rsidP="005F54C1">
            <w:pPr>
              <w:jc w:val="center"/>
              <w:rPr>
                <w:rFonts w:ascii="Calibri" w:hAnsi="Calibri"/>
                <w:color w:val="000000"/>
                <w:sz w:val="20"/>
              </w:rPr>
            </w:pPr>
            <w:r>
              <w:rPr>
                <w:rFonts w:ascii="Calibri" w:hAnsi="Calibri"/>
                <w:color w:val="000000"/>
                <w:sz w:val="20"/>
              </w:rPr>
              <w:t>2,530,000</w:t>
            </w:r>
          </w:p>
        </w:tc>
      </w:tr>
      <w:tr w:rsidR="005F54C1" w:rsidRPr="005F54C1" w:rsidTr="0087460A">
        <w:tc>
          <w:tcPr>
            <w:tcW w:w="3393" w:type="dxa"/>
          </w:tcPr>
          <w:p w:rsidR="005F54C1" w:rsidRPr="005F54C1" w:rsidRDefault="005F54C1" w:rsidP="005F54C1">
            <w:pPr>
              <w:pStyle w:val="NoSpacing"/>
              <w:rPr>
                <w:sz w:val="20"/>
              </w:rPr>
            </w:pPr>
            <w:r w:rsidRPr="005F54C1">
              <w:rPr>
                <w:sz w:val="20"/>
              </w:rPr>
              <w:t>GHG reduction WTW incl. BC in tCO</w:t>
            </w:r>
            <w:r w:rsidRPr="005F54C1">
              <w:rPr>
                <w:sz w:val="20"/>
                <w:vertAlign w:val="subscript"/>
              </w:rPr>
              <w:t>2e</w:t>
            </w:r>
          </w:p>
        </w:tc>
        <w:tc>
          <w:tcPr>
            <w:tcW w:w="1699" w:type="dxa"/>
            <w:vAlign w:val="bottom"/>
          </w:tcPr>
          <w:p w:rsidR="005F54C1" w:rsidRPr="005F54C1" w:rsidRDefault="005F54C1" w:rsidP="005F54C1">
            <w:pPr>
              <w:jc w:val="center"/>
              <w:rPr>
                <w:rFonts w:ascii="Calibri" w:hAnsi="Calibri"/>
                <w:color w:val="000000"/>
                <w:sz w:val="20"/>
              </w:rPr>
            </w:pPr>
            <w:r>
              <w:rPr>
                <w:rFonts w:ascii="Calibri" w:hAnsi="Calibri"/>
                <w:color w:val="000000"/>
                <w:sz w:val="20"/>
              </w:rPr>
              <w:t>216,000</w:t>
            </w:r>
          </w:p>
        </w:tc>
        <w:tc>
          <w:tcPr>
            <w:tcW w:w="1662" w:type="dxa"/>
            <w:vAlign w:val="bottom"/>
          </w:tcPr>
          <w:p w:rsidR="005F54C1" w:rsidRPr="005F54C1" w:rsidRDefault="005F54C1" w:rsidP="005F54C1">
            <w:pPr>
              <w:jc w:val="center"/>
              <w:rPr>
                <w:rFonts w:ascii="Calibri" w:hAnsi="Calibri"/>
                <w:color w:val="000000"/>
                <w:sz w:val="20"/>
              </w:rPr>
            </w:pPr>
            <w:r>
              <w:rPr>
                <w:rFonts w:ascii="Calibri" w:hAnsi="Calibri"/>
                <w:color w:val="000000"/>
                <w:sz w:val="20"/>
              </w:rPr>
              <w:t>447,000</w:t>
            </w:r>
          </w:p>
        </w:tc>
        <w:tc>
          <w:tcPr>
            <w:tcW w:w="2252" w:type="dxa"/>
            <w:vAlign w:val="bottom"/>
          </w:tcPr>
          <w:p w:rsidR="005F54C1" w:rsidRPr="005F54C1" w:rsidRDefault="005F54C1" w:rsidP="005F54C1">
            <w:pPr>
              <w:jc w:val="center"/>
              <w:rPr>
                <w:rFonts w:ascii="Calibri" w:hAnsi="Calibri"/>
                <w:color w:val="000000"/>
                <w:sz w:val="20"/>
              </w:rPr>
            </w:pPr>
            <w:r>
              <w:rPr>
                <w:rFonts w:ascii="Calibri" w:hAnsi="Calibri"/>
                <w:color w:val="000000"/>
                <w:sz w:val="20"/>
              </w:rPr>
              <w:t>3,030,000</w:t>
            </w:r>
          </w:p>
        </w:tc>
      </w:tr>
    </w:tbl>
    <w:p w:rsidR="00187E68" w:rsidRDefault="00187E68" w:rsidP="00187E68">
      <w:pPr>
        <w:pStyle w:val="NoSpacing"/>
      </w:pPr>
    </w:p>
    <w:p w:rsidR="00027A8A" w:rsidRDefault="005F54C1" w:rsidP="00740314">
      <w:pPr>
        <w:jc w:val="both"/>
      </w:pPr>
      <w:r>
        <w:t>GHG reductions of 2 to 3 million tCO</w:t>
      </w:r>
      <w:r w:rsidRPr="00DD60F5">
        <w:rPr>
          <w:vertAlign w:val="subscript"/>
        </w:rPr>
        <w:t>2e</w:t>
      </w:r>
      <w:r>
        <w:t xml:space="preserve"> can be achieved cumulative over the time period of 2017-2030</w:t>
      </w:r>
      <w:r w:rsidR="00DD60F5">
        <w:rPr>
          <w:rStyle w:val="FootnoteReference"/>
        </w:rPr>
        <w:footnoteReference w:id="46"/>
      </w:r>
      <w:r>
        <w:t xml:space="preserve"> or around 300-450,000 tCO</w:t>
      </w:r>
      <w:r w:rsidRPr="00DD60F5">
        <w:rPr>
          <w:vertAlign w:val="subscript"/>
        </w:rPr>
        <w:t>2e</w:t>
      </w:r>
      <w:r>
        <w:t xml:space="preserve"> per annum as of 2030. As the railway investments have a life-span of minimum 30 years the total impact over </w:t>
      </w:r>
      <w:r w:rsidR="00C14C7F">
        <w:t xml:space="preserve">the technical </w:t>
      </w:r>
      <w:r>
        <w:t>life-span is estimated at 9</w:t>
      </w:r>
      <w:r w:rsidR="00DD60F5">
        <w:t>.5</w:t>
      </w:r>
      <w:r>
        <w:t xml:space="preserve"> to 14 million tCO</w:t>
      </w:r>
      <w:r w:rsidRPr="00DD60F5">
        <w:rPr>
          <w:vertAlign w:val="subscript"/>
        </w:rPr>
        <w:t>2e</w:t>
      </w:r>
      <w:r>
        <w:t xml:space="preserve"> avoided</w:t>
      </w:r>
      <w:r w:rsidR="00DD60F5">
        <w:rPr>
          <w:rStyle w:val="FootnoteReference"/>
        </w:rPr>
        <w:footnoteReference w:id="47"/>
      </w:r>
      <w:r>
        <w:t xml:space="preserve">. </w:t>
      </w:r>
      <w:r w:rsidR="00027A8A">
        <w:t xml:space="preserve">25% of the emission reductions are due to freight and 75% due to passenger movement. </w:t>
      </w:r>
      <w:r w:rsidR="00DD60F5">
        <w:t xml:space="preserve">As of 2030 transport emissions </w:t>
      </w:r>
      <w:r w:rsidR="00C14C7F">
        <w:t>could be reduced by around 1</w:t>
      </w:r>
      <w:r w:rsidR="00740314">
        <w:t xml:space="preserve">% relative to the </w:t>
      </w:r>
      <w:r w:rsidR="00C14C7F">
        <w:t xml:space="preserve">INDC projected </w:t>
      </w:r>
      <w:r w:rsidR="00740314">
        <w:t>baseline.</w:t>
      </w:r>
      <w:r w:rsidR="00DD60F5">
        <w:t xml:space="preserve"> </w:t>
      </w:r>
    </w:p>
    <w:p w:rsidR="00867C37" w:rsidRDefault="00867C37" w:rsidP="00867C37">
      <w:pPr>
        <w:pStyle w:val="Heading2"/>
        <w:numPr>
          <w:ilvl w:val="1"/>
          <w:numId w:val="1"/>
        </w:numPr>
      </w:pPr>
      <w:bookmarkStart w:id="19" w:name="_Toc466207345"/>
      <w:r>
        <w:t>Indirect Effects</w:t>
      </w:r>
      <w:bookmarkEnd w:id="19"/>
    </w:p>
    <w:p w:rsidR="00A1485A" w:rsidRDefault="00A1485A" w:rsidP="00A1485A">
      <w:pPr>
        <w:pStyle w:val="Heading3"/>
        <w:numPr>
          <w:ilvl w:val="2"/>
          <w:numId w:val="1"/>
        </w:numPr>
      </w:pPr>
      <w:bookmarkStart w:id="20" w:name="_Toc466207346"/>
      <w:r>
        <w:t>Sources</w:t>
      </w:r>
      <w:bookmarkEnd w:id="20"/>
    </w:p>
    <w:p w:rsidR="00A1485A" w:rsidRPr="00A1485A" w:rsidRDefault="00A1485A" w:rsidP="00A1485A"/>
    <w:p w:rsidR="00256D11" w:rsidRDefault="00A1485A" w:rsidP="00256D11">
      <w:pPr>
        <w:jc w:val="both"/>
      </w:pPr>
      <w:r>
        <w:t xml:space="preserve">Indirect </w:t>
      </w:r>
      <w:r w:rsidR="00256D11">
        <w:t xml:space="preserve">emission sources are fossil fuel Well-to-Tank </w:t>
      </w:r>
      <w:r>
        <w:t xml:space="preserve">(WTT) </w:t>
      </w:r>
      <w:r w:rsidR="00256D11">
        <w:t>emissions, road construction emissions, vehicle manufacturing emissions, and congestion change emissions.</w:t>
      </w:r>
      <w:r>
        <w:t xml:space="preserve"> WTT emissions have already been included in above calculations and are therefore not further discussed.</w:t>
      </w:r>
    </w:p>
    <w:p w:rsidR="00A1485A" w:rsidRDefault="00A1485A" w:rsidP="00256D11">
      <w:pPr>
        <w:jc w:val="both"/>
      </w:pPr>
      <w:r>
        <w:t xml:space="preserve">It is important to take into account that indirect emissions occur under the BAU or </w:t>
      </w:r>
      <w:r w:rsidR="00C14C7F">
        <w:t xml:space="preserve">the </w:t>
      </w:r>
      <w:r>
        <w:t xml:space="preserve">baseline </w:t>
      </w:r>
      <w:r w:rsidR="00C14C7F">
        <w:t>scenario</w:t>
      </w:r>
      <w:r>
        <w:t xml:space="preserve"> as well as under the NAMA </w:t>
      </w:r>
      <w:r w:rsidR="00C14C7F">
        <w:t>scenario</w:t>
      </w:r>
      <w:r>
        <w:t xml:space="preserve">. </w:t>
      </w:r>
      <w:r w:rsidR="00C14C7F">
        <w:t xml:space="preserve">With </w:t>
      </w:r>
      <w:r>
        <w:t xml:space="preserve">the baseline additional road space is required as more buses and trucks drive on roads whilst under the NAMA scenario additional rail tracks are built. The same is true for vehicle construction where additional bus and truck manufacturing have to be compared with additional locomotive and carriage manufacturing. The total impact is the differential between baseline and NAMA indirect emissions. </w:t>
      </w:r>
    </w:p>
    <w:p w:rsidR="00256D11" w:rsidRDefault="00256D11" w:rsidP="00A1485A">
      <w:pPr>
        <w:pStyle w:val="Heading3"/>
        <w:numPr>
          <w:ilvl w:val="2"/>
          <w:numId w:val="1"/>
        </w:numPr>
      </w:pPr>
      <w:bookmarkStart w:id="21" w:name="_Toc466207347"/>
      <w:r w:rsidRPr="00A1485A">
        <w:lastRenderedPageBreak/>
        <w:t>Road</w:t>
      </w:r>
      <w:r w:rsidR="00A1485A" w:rsidRPr="00A1485A">
        <w:t>/Rail</w:t>
      </w:r>
      <w:r w:rsidRPr="00A1485A">
        <w:t xml:space="preserve"> Construction Related Emissions</w:t>
      </w:r>
      <w:bookmarkEnd w:id="21"/>
    </w:p>
    <w:p w:rsidR="00A1485A" w:rsidRPr="00A1485A" w:rsidRDefault="00A1485A" w:rsidP="00A1485A"/>
    <w:p w:rsidR="00256D11" w:rsidRDefault="00256D11" w:rsidP="00256D11">
      <w:pPr>
        <w:jc w:val="both"/>
      </w:pPr>
      <w:r>
        <w:t>This refers to additional road construction which would have been required to facilitate the movement of the baseline vehicles</w:t>
      </w:r>
      <w:r w:rsidR="00A1485A">
        <w:t xml:space="preserve"> in the BAU scenario and to additional rail tracks under the NAMA scenario</w:t>
      </w:r>
      <w:r>
        <w:t>. In absence of the additional mode-switch related to the NAMA more conventional vehicles would operate which require space to move. The main component is thereby additional road lane construction.</w:t>
      </w:r>
      <w:r w:rsidR="00A1485A">
        <w:t xml:space="preserve"> The following table shows core parameters required for an assessment of the magnitude and the direction of the impact.</w:t>
      </w:r>
    </w:p>
    <w:p w:rsidR="00A1485A" w:rsidRPr="00187E68" w:rsidRDefault="00187E68" w:rsidP="00187E68">
      <w:pPr>
        <w:pStyle w:val="NoSpacing"/>
        <w:rPr>
          <w:b/>
          <w:sz w:val="20"/>
        </w:rPr>
      </w:pPr>
      <w:r w:rsidRPr="00187E68">
        <w:rPr>
          <w:b/>
          <w:sz w:val="20"/>
        </w:rPr>
        <w:t xml:space="preserve">Table </w:t>
      </w:r>
      <w:r w:rsidRPr="00187E68">
        <w:rPr>
          <w:b/>
          <w:sz w:val="20"/>
        </w:rPr>
        <w:fldChar w:fldCharType="begin"/>
      </w:r>
      <w:r w:rsidRPr="00187E68">
        <w:rPr>
          <w:b/>
          <w:sz w:val="20"/>
        </w:rPr>
        <w:instrText xml:space="preserve"> SEQ Table \* ARABIC </w:instrText>
      </w:r>
      <w:r w:rsidRPr="00187E68">
        <w:rPr>
          <w:b/>
          <w:sz w:val="20"/>
        </w:rPr>
        <w:fldChar w:fldCharType="separate"/>
      </w:r>
      <w:r w:rsidR="00AC6EDE">
        <w:rPr>
          <w:b/>
          <w:noProof/>
          <w:sz w:val="20"/>
        </w:rPr>
        <w:t>6</w:t>
      </w:r>
      <w:r w:rsidRPr="00187E68">
        <w:rPr>
          <w:b/>
          <w:sz w:val="20"/>
        </w:rPr>
        <w:fldChar w:fldCharType="end"/>
      </w:r>
      <w:r w:rsidR="00A1485A" w:rsidRPr="00187E68">
        <w:rPr>
          <w:b/>
          <w:sz w:val="20"/>
        </w:rPr>
        <w:t xml:space="preserve">: Parameters to Determine GHG Impact of Road/Rail Construction </w:t>
      </w:r>
    </w:p>
    <w:tbl>
      <w:tblPr>
        <w:tblStyle w:val="TableGrid"/>
        <w:tblW w:w="905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805"/>
        <w:gridCol w:w="2048"/>
        <w:gridCol w:w="5204"/>
      </w:tblGrid>
      <w:tr w:rsidR="00A1485A" w:rsidRPr="00A1485A" w:rsidTr="00402CF5">
        <w:tc>
          <w:tcPr>
            <w:tcW w:w="1805" w:type="dxa"/>
            <w:shd w:val="clear" w:color="auto" w:fill="DEEAF6" w:themeFill="accent1" w:themeFillTint="33"/>
          </w:tcPr>
          <w:p w:rsidR="00A1485A" w:rsidRPr="00A1485A" w:rsidRDefault="00402CF5" w:rsidP="00A1485A">
            <w:pPr>
              <w:pStyle w:val="NoSpacing"/>
              <w:rPr>
                <w:b/>
                <w:sz w:val="20"/>
                <w:szCs w:val="20"/>
              </w:rPr>
            </w:pPr>
            <w:r>
              <w:rPr>
                <w:b/>
                <w:sz w:val="20"/>
                <w:szCs w:val="20"/>
              </w:rPr>
              <w:t>Parameter</w:t>
            </w:r>
          </w:p>
        </w:tc>
        <w:tc>
          <w:tcPr>
            <w:tcW w:w="2048" w:type="dxa"/>
            <w:shd w:val="clear" w:color="auto" w:fill="DEEAF6" w:themeFill="accent1" w:themeFillTint="33"/>
          </w:tcPr>
          <w:p w:rsidR="00A1485A" w:rsidRPr="00A1485A" w:rsidRDefault="00A1485A" w:rsidP="00402CF5">
            <w:pPr>
              <w:pStyle w:val="NoSpacing"/>
              <w:jc w:val="center"/>
              <w:rPr>
                <w:b/>
                <w:sz w:val="20"/>
                <w:szCs w:val="20"/>
              </w:rPr>
            </w:pPr>
            <w:r w:rsidRPr="00A1485A">
              <w:rPr>
                <w:b/>
                <w:sz w:val="20"/>
                <w:szCs w:val="20"/>
              </w:rPr>
              <w:t>Value</w:t>
            </w:r>
          </w:p>
        </w:tc>
        <w:tc>
          <w:tcPr>
            <w:tcW w:w="5204" w:type="dxa"/>
            <w:shd w:val="clear" w:color="auto" w:fill="DEEAF6" w:themeFill="accent1" w:themeFillTint="33"/>
          </w:tcPr>
          <w:p w:rsidR="00A1485A" w:rsidRPr="00A1485A" w:rsidRDefault="00A1485A" w:rsidP="00A1485A">
            <w:pPr>
              <w:pStyle w:val="NoSpacing"/>
              <w:rPr>
                <w:b/>
                <w:sz w:val="20"/>
                <w:szCs w:val="20"/>
              </w:rPr>
            </w:pPr>
            <w:r w:rsidRPr="00A1485A">
              <w:rPr>
                <w:b/>
                <w:sz w:val="20"/>
                <w:szCs w:val="20"/>
              </w:rPr>
              <w:t>Source, Comment</w:t>
            </w:r>
          </w:p>
        </w:tc>
      </w:tr>
      <w:tr w:rsidR="00A1485A" w:rsidRPr="00A1485A" w:rsidTr="00402CF5">
        <w:tc>
          <w:tcPr>
            <w:tcW w:w="1805" w:type="dxa"/>
          </w:tcPr>
          <w:p w:rsidR="00A1485A" w:rsidRPr="00C176CD" w:rsidRDefault="00A1485A" w:rsidP="00A1485A">
            <w:pPr>
              <w:rPr>
                <w:sz w:val="20"/>
                <w:szCs w:val="20"/>
              </w:rPr>
            </w:pPr>
            <w:r w:rsidRPr="00C176CD">
              <w:rPr>
                <w:sz w:val="20"/>
                <w:szCs w:val="20"/>
              </w:rPr>
              <w:t>Emission Factor for road construction</w:t>
            </w:r>
          </w:p>
        </w:tc>
        <w:tc>
          <w:tcPr>
            <w:tcW w:w="2048" w:type="dxa"/>
          </w:tcPr>
          <w:p w:rsidR="00A1485A" w:rsidRPr="00C176CD" w:rsidRDefault="00A1485A" w:rsidP="00A1485A">
            <w:pPr>
              <w:pStyle w:val="NoSpacing"/>
              <w:jc w:val="center"/>
              <w:rPr>
                <w:sz w:val="20"/>
                <w:szCs w:val="20"/>
              </w:rPr>
            </w:pPr>
            <w:r w:rsidRPr="00C176CD">
              <w:rPr>
                <w:sz w:val="20"/>
                <w:szCs w:val="20"/>
              </w:rPr>
              <w:t>20 tCO</w:t>
            </w:r>
            <w:r w:rsidRPr="00C176CD">
              <w:rPr>
                <w:sz w:val="20"/>
                <w:szCs w:val="20"/>
                <w:vertAlign w:val="subscript"/>
              </w:rPr>
              <w:t>2</w:t>
            </w:r>
            <w:r w:rsidRPr="00C176CD">
              <w:rPr>
                <w:sz w:val="20"/>
                <w:szCs w:val="20"/>
              </w:rPr>
              <w:t>/km per lane per annum</w:t>
            </w:r>
          </w:p>
        </w:tc>
        <w:tc>
          <w:tcPr>
            <w:tcW w:w="5204" w:type="dxa"/>
          </w:tcPr>
          <w:p w:rsidR="00A1485A" w:rsidRPr="00C176CD" w:rsidRDefault="00A1485A" w:rsidP="00A1485A">
            <w:pPr>
              <w:pStyle w:val="NoSpacing"/>
              <w:rPr>
                <w:sz w:val="20"/>
                <w:szCs w:val="20"/>
              </w:rPr>
            </w:pPr>
            <w:r w:rsidRPr="00C176CD">
              <w:rPr>
                <w:sz w:val="20"/>
                <w:szCs w:val="20"/>
              </w:rPr>
              <w:t>550 tCO</w:t>
            </w:r>
            <w:r w:rsidRPr="00C176CD">
              <w:rPr>
                <w:sz w:val="20"/>
                <w:szCs w:val="20"/>
                <w:vertAlign w:val="subscript"/>
              </w:rPr>
              <w:t>2</w:t>
            </w:r>
            <w:r w:rsidRPr="00C176CD">
              <w:rPr>
                <w:sz w:val="20"/>
                <w:szCs w:val="20"/>
              </w:rPr>
              <w:t xml:space="preserve"> per lane for a 4-lane road GEF</w:t>
            </w:r>
            <w:r w:rsidRPr="00C176CD">
              <w:rPr>
                <w:rStyle w:val="FootnoteReference"/>
                <w:sz w:val="20"/>
                <w:szCs w:val="20"/>
              </w:rPr>
              <w:footnoteReference w:id="48"/>
            </w:r>
            <w:r w:rsidRPr="00C176CD">
              <w:rPr>
                <w:sz w:val="20"/>
                <w:szCs w:val="20"/>
              </w:rPr>
              <w:t>; 809 tCO</w:t>
            </w:r>
            <w:r w:rsidRPr="00C176CD">
              <w:rPr>
                <w:sz w:val="20"/>
                <w:szCs w:val="20"/>
                <w:vertAlign w:val="subscript"/>
              </w:rPr>
              <w:t>2</w:t>
            </w:r>
            <w:r w:rsidRPr="00C176CD">
              <w:rPr>
                <w:sz w:val="20"/>
                <w:szCs w:val="20"/>
              </w:rPr>
              <w:t xml:space="preserve"> per lane (expressways) World Bank</w:t>
            </w:r>
            <w:r w:rsidRPr="00C176CD">
              <w:rPr>
                <w:rStyle w:val="FootnoteReference"/>
                <w:sz w:val="20"/>
                <w:szCs w:val="20"/>
              </w:rPr>
              <w:footnoteReference w:id="49"/>
            </w:r>
            <w:r w:rsidRPr="00C176CD">
              <w:rPr>
                <w:sz w:val="20"/>
                <w:szCs w:val="20"/>
              </w:rPr>
              <w:t>; 628-721</w:t>
            </w:r>
            <w:r w:rsidRPr="00C176CD">
              <w:rPr>
                <w:rStyle w:val="FootnoteReference"/>
                <w:sz w:val="20"/>
                <w:szCs w:val="20"/>
              </w:rPr>
              <w:footnoteReference w:id="50"/>
            </w:r>
            <w:r w:rsidRPr="00C176CD">
              <w:rPr>
                <w:sz w:val="20"/>
                <w:szCs w:val="20"/>
              </w:rPr>
              <w:t xml:space="preserve"> tCO</w:t>
            </w:r>
            <w:r w:rsidRPr="00C176CD">
              <w:rPr>
                <w:sz w:val="20"/>
                <w:szCs w:val="20"/>
                <w:vertAlign w:val="subscript"/>
              </w:rPr>
              <w:t xml:space="preserve">2 </w:t>
            </w:r>
            <w:r w:rsidRPr="00C176CD">
              <w:rPr>
                <w:sz w:val="20"/>
                <w:szCs w:val="20"/>
              </w:rPr>
              <w:t>per lane motorway EU Pave; EU average 500-800t per lane including construction, maintenance and operation; calculation based on 40 years of life-span</w:t>
            </w:r>
            <w:r w:rsidRPr="00C176CD">
              <w:rPr>
                <w:rStyle w:val="FootnoteReference"/>
                <w:sz w:val="20"/>
                <w:szCs w:val="20"/>
              </w:rPr>
              <w:footnoteReference w:id="51"/>
            </w:r>
          </w:p>
        </w:tc>
      </w:tr>
      <w:tr w:rsidR="00402CF5" w:rsidRPr="00A1485A" w:rsidTr="00402CF5">
        <w:tc>
          <w:tcPr>
            <w:tcW w:w="1805" w:type="dxa"/>
          </w:tcPr>
          <w:p w:rsidR="00402CF5" w:rsidRPr="00C176CD" w:rsidRDefault="00402CF5" w:rsidP="00402CF5">
            <w:pPr>
              <w:rPr>
                <w:sz w:val="20"/>
                <w:szCs w:val="20"/>
              </w:rPr>
            </w:pPr>
            <w:r w:rsidRPr="00C176CD">
              <w:rPr>
                <w:sz w:val="20"/>
                <w:szCs w:val="20"/>
              </w:rPr>
              <w:t>Emission Factor for rail construction</w:t>
            </w:r>
          </w:p>
        </w:tc>
        <w:tc>
          <w:tcPr>
            <w:tcW w:w="2048" w:type="dxa"/>
          </w:tcPr>
          <w:p w:rsidR="00402CF5" w:rsidRPr="00C176CD" w:rsidRDefault="000907EC" w:rsidP="00402CF5">
            <w:pPr>
              <w:pStyle w:val="NoSpacing"/>
              <w:jc w:val="center"/>
              <w:rPr>
                <w:sz w:val="20"/>
                <w:szCs w:val="20"/>
              </w:rPr>
            </w:pPr>
            <w:r>
              <w:rPr>
                <w:sz w:val="20"/>
                <w:szCs w:val="20"/>
              </w:rPr>
              <w:t>40</w:t>
            </w:r>
            <w:r w:rsidR="00402CF5" w:rsidRPr="00C176CD">
              <w:rPr>
                <w:sz w:val="20"/>
                <w:szCs w:val="20"/>
              </w:rPr>
              <w:t xml:space="preserve"> tCO</w:t>
            </w:r>
            <w:r w:rsidR="00402CF5" w:rsidRPr="00C176CD">
              <w:rPr>
                <w:sz w:val="20"/>
                <w:szCs w:val="20"/>
                <w:vertAlign w:val="subscript"/>
              </w:rPr>
              <w:t>2</w:t>
            </w:r>
            <w:r w:rsidR="00402CF5" w:rsidRPr="00C176CD">
              <w:rPr>
                <w:sz w:val="20"/>
                <w:szCs w:val="20"/>
              </w:rPr>
              <w:t>/km of track per annum</w:t>
            </w:r>
          </w:p>
        </w:tc>
        <w:tc>
          <w:tcPr>
            <w:tcW w:w="5204" w:type="dxa"/>
          </w:tcPr>
          <w:p w:rsidR="00402CF5" w:rsidRPr="00C176CD" w:rsidRDefault="00402CF5" w:rsidP="00402CF5">
            <w:pPr>
              <w:pStyle w:val="NoSpacing"/>
              <w:rPr>
                <w:sz w:val="20"/>
                <w:szCs w:val="20"/>
              </w:rPr>
            </w:pPr>
            <w:r w:rsidRPr="00C176CD">
              <w:rPr>
                <w:sz w:val="20"/>
                <w:szCs w:val="20"/>
              </w:rPr>
              <w:t>Based on EU including sta</w:t>
            </w:r>
            <w:r>
              <w:rPr>
                <w:sz w:val="20"/>
                <w:szCs w:val="20"/>
              </w:rPr>
              <w:t>tions,</w:t>
            </w:r>
            <w:r w:rsidRPr="00C176CD">
              <w:rPr>
                <w:sz w:val="20"/>
                <w:szCs w:val="20"/>
              </w:rPr>
              <w:t xml:space="preserve"> rail track, </w:t>
            </w:r>
            <w:r w:rsidR="000907EC">
              <w:rPr>
                <w:sz w:val="20"/>
                <w:szCs w:val="20"/>
              </w:rPr>
              <w:t xml:space="preserve">and </w:t>
            </w:r>
            <w:r w:rsidRPr="00C176CD">
              <w:rPr>
                <w:sz w:val="20"/>
                <w:szCs w:val="20"/>
              </w:rPr>
              <w:t>bridges</w:t>
            </w:r>
            <w:r w:rsidRPr="00C176CD">
              <w:rPr>
                <w:rStyle w:val="FootnoteReference"/>
                <w:sz w:val="20"/>
                <w:szCs w:val="20"/>
              </w:rPr>
              <w:footnoteReference w:id="52"/>
            </w:r>
            <w:r w:rsidRPr="00C176CD">
              <w:rPr>
                <w:sz w:val="20"/>
                <w:szCs w:val="20"/>
              </w:rPr>
              <w:t>; based on different material life-time; annualized emissions.</w:t>
            </w:r>
            <w:r w:rsidR="000907EC">
              <w:rPr>
                <w:sz w:val="20"/>
                <w:szCs w:val="20"/>
              </w:rPr>
              <w:t xml:space="preserve"> Does not include overhead electrification or tunnels.</w:t>
            </w:r>
            <w:r w:rsidRPr="00C176CD">
              <w:rPr>
                <w:sz w:val="20"/>
                <w:szCs w:val="20"/>
              </w:rPr>
              <w:t xml:space="preserve"> </w:t>
            </w:r>
          </w:p>
          <w:p w:rsidR="00402CF5" w:rsidRPr="00C176CD" w:rsidRDefault="00402CF5" w:rsidP="000907EC">
            <w:pPr>
              <w:pStyle w:val="NoSpacing"/>
              <w:rPr>
                <w:sz w:val="20"/>
                <w:szCs w:val="20"/>
              </w:rPr>
            </w:pPr>
            <w:r w:rsidRPr="00C176CD">
              <w:rPr>
                <w:sz w:val="20"/>
                <w:szCs w:val="20"/>
              </w:rPr>
              <w:t>GEF</w:t>
            </w:r>
            <w:r w:rsidRPr="00C176CD">
              <w:rPr>
                <w:rStyle w:val="FootnoteReference"/>
                <w:sz w:val="20"/>
                <w:szCs w:val="20"/>
              </w:rPr>
              <w:footnoteReference w:id="53"/>
            </w:r>
            <w:r w:rsidRPr="00C176CD">
              <w:rPr>
                <w:sz w:val="20"/>
                <w:szCs w:val="20"/>
              </w:rPr>
              <w:t xml:space="preserve"> has 875 tCO</w:t>
            </w:r>
            <w:r w:rsidRPr="00C176CD">
              <w:rPr>
                <w:sz w:val="20"/>
                <w:szCs w:val="20"/>
                <w:vertAlign w:val="subscript"/>
              </w:rPr>
              <w:t>2</w:t>
            </w:r>
            <w:r w:rsidRPr="00C176CD">
              <w:rPr>
                <w:sz w:val="20"/>
                <w:szCs w:val="20"/>
              </w:rPr>
              <w:t>/track i.e. around 30 tCO</w:t>
            </w:r>
            <w:r w:rsidRPr="00C176CD">
              <w:rPr>
                <w:sz w:val="20"/>
                <w:szCs w:val="20"/>
                <w:vertAlign w:val="subscript"/>
              </w:rPr>
              <w:t>2</w:t>
            </w:r>
            <w:r w:rsidRPr="00C176CD">
              <w:rPr>
                <w:sz w:val="20"/>
                <w:szCs w:val="20"/>
              </w:rPr>
              <w:t>/annum per km of track based only on</w:t>
            </w:r>
            <w:r w:rsidR="000907EC">
              <w:rPr>
                <w:sz w:val="20"/>
                <w:szCs w:val="20"/>
              </w:rPr>
              <w:t xml:space="preserve"> steel and concrete for tracks. This does not include bridge and station components.</w:t>
            </w:r>
          </w:p>
        </w:tc>
      </w:tr>
      <w:tr w:rsidR="00402CF5" w:rsidRPr="00A1485A" w:rsidTr="00402CF5">
        <w:tc>
          <w:tcPr>
            <w:tcW w:w="1805" w:type="dxa"/>
          </w:tcPr>
          <w:p w:rsidR="00402CF5" w:rsidRPr="00A1485A" w:rsidRDefault="0087460A" w:rsidP="00402CF5">
            <w:pPr>
              <w:pStyle w:val="NoSpacing"/>
              <w:rPr>
                <w:sz w:val="20"/>
                <w:szCs w:val="20"/>
              </w:rPr>
            </w:pPr>
            <w:r>
              <w:rPr>
                <w:sz w:val="20"/>
                <w:szCs w:val="20"/>
              </w:rPr>
              <w:t>Road capacity per hour</w:t>
            </w:r>
          </w:p>
        </w:tc>
        <w:tc>
          <w:tcPr>
            <w:tcW w:w="2048" w:type="dxa"/>
          </w:tcPr>
          <w:p w:rsidR="00402CF5" w:rsidRPr="00A1485A" w:rsidRDefault="00D57584" w:rsidP="00A15DAB">
            <w:pPr>
              <w:pStyle w:val="NoSpacing"/>
              <w:jc w:val="center"/>
              <w:rPr>
                <w:sz w:val="20"/>
                <w:szCs w:val="20"/>
              </w:rPr>
            </w:pPr>
            <w:r>
              <w:rPr>
                <w:sz w:val="20"/>
                <w:szCs w:val="20"/>
              </w:rPr>
              <w:t>700</w:t>
            </w:r>
            <w:r w:rsidR="00EA7BB9">
              <w:rPr>
                <w:sz w:val="20"/>
                <w:szCs w:val="20"/>
              </w:rPr>
              <w:t xml:space="preserve"> PCU/h</w:t>
            </w:r>
          </w:p>
        </w:tc>
        <w:tc>
          <w:tcPr>
            <w:tcW w:w="5204" w:type="dxa"/>
          </w:tcPr>
          <w:p w:rsidR="00402CF5" w:rsidRPr="00A1485A" w:rsidRDefault="0087460A" w:rsidP="00A15DAB">
            <w:pPr>
              <w:pStyle w:val="NoSpacing"/>
              <w:rPr>
                <w:sz w:val="20"/>
                <w:szCs w:val="20"/>
              </w:rPr>
            </w:pPr>
            <w:r>
              <w:rPr>
                <w:sz w:val="20"/>
                <w:szCs w:val="20"/>
              </w:rPr>
              <w:t>For calculation p</w:t>
            </w:r>
            <w:r w:rsidR="00A15DAB">
              <w:rPr>
                <w:sz w:val="20"/>
                <w:szCs w:val="20"/>
              </w:rPr>
              <w:t>urposes 18</w:t>
            </w:r>
            <w:r>
              <w:rPr>
                <w:sz w:val="20"/>
                <w:szCs w:val="20"/>
              </w:rPr>
              <w:t>h are assumed. Trucks and buses are counted as 2 PCUs (Passenger Car Units)</w:t>
            </w:r>
            <w:r w:rsidR="00A15DAB">
              <w:rPr>
                <w:sz w:val="20"/>
                <w:szCs w:val="20"/>
              </w:rPr>
              <w:t>. Number based on single carriageway with 2 lanes with mixed traffic, pedestrian crossings and average speeds below 50km/h, width 10-12m with 20-25% of traffic being buses and trucks</w:t>
            </w:r>
            <w:r w:rsidR="00A15DAB">
              <w:rPr>
                <w:rStyle w:val="FootnoteReference"/>
                <w:sz w:val="20"/>
                <w:szCs w:val="20"/>
              </w:rPr>
              <w:footnoteReference w:id="54"/>
            </w:r>
          </w:p>
        </w:tc>
      </w:tr>
      <w:tr w:rsidR="00402CF5" w:rsidRPr="00A1485A" w:rsidTr="00402CF5">
        <w:tc>
          <w:tcPr>
            <w:tcW w:w="1805" w:type="dxa"/>
          </w:tcPr>
          <w:p w:rsidR="00402CF5" w:rsidRPr="00A1485A" w:rsidRDefault="00ED622F" w:rsidP="00402CF5">
            <w:pPr>
              <w:pStyle w:val="NoSpacing"/>
              <w:rPr>
                <w:sz w:val="20"/>
                <w:szCs w:val="20"/>
              </w:rPr>
            </w:pPr>
            <w:r>
              <w:rPr>
                <w:sz w:val="20"/>
                <w:szCs w:val="20"/>
              </w:rPr>
              <w:t xml:space="preserve">New </w:t>
            </w:r>
            <w:r w:rsidR="00883B9F">
              <w:rPr>
                <w:sz w:val="20"/>
                <w:szCs w:val="20"/>
              </w:rPr>
              <w:t>rail track</w:t>
            </w:r>
            <w:r>
              <w:rPr>
                <w:sz w:val="20"/>
                <w:szCs w:val="20"/>
              </w:rPr>
              <w:t>s</w:t>
            </w:r>
          </w:p>
        </w:tc>
        <w:tc>
          <w:tcPr>
            <w:tcW w:w="2048" w:type="dxa"/>
          </w:tcPr>
          <w:p w:rsidR="00402CF5" w:rsidRPr="00A1485A" w:rsidRDefault="00EF75F1" w:rsidP="00EF75F1">
            <w:pPr>
              <w:pStyle w:val="NoSpacing"/>
              <w:jc w:val="center"/>
              <w:rPr>
                <w:sz w:val="20"/>
                <w:szCs w:val="20"/>
              </w:rPr>
            </w:pPr>
            <w:r>
              <w:rPr>
                <w:sz w:val="20"/>
                <w:szCs w:val="20"/>
              </w:rPr>
              <w:t>390</w:t>
            </w:r>
          </w:p>
        </w:tc>
        <w:tc>
          <w:tcPr>
            <w:tcW w:w="5204" w:type="dxa"/>
          </w:tcPr>
          <w:p w:rsidR="00402CF5" w:rsidRPr="00A1485A" w:rsidRDefault="00ED622F" w:rsidP="00402CF5">
            <w:pPr>
              <w:pStyle w:val="NoSpacing"/>
              <w:rPr>
                <w:sz w:val="20"/>
                <w:szCs w:val="20"/>
              </w:rPr>
            </w:pPr>
            <w:r>
              <w:rPr>
                <w:sz w:val="20"/>
                <w:szCs w:val="20"/>
              </w:rPr>
              <w:t>Based on map in BR, Rail Master Plan, p.122</w:t>
            </w:r>
            <w:r w:rsidR="00EF75F1">
              <w:rPr>
                <w:sz w:val="20"/>
                <w:szCs w:val="20"/>
              </w:rPr>
              <w:t xml:space="preserve"> new lines only</w:t>
            </w:r>
          </w:p>
        </w:tc>
      </w:tr>
    </w:tbl>
    <w:p w:rsidR="00ED622F" w:rsidRDefault="00ED622F" w:rsidP="00ED622F">
      <w:pPr>
        <w:pStyle w:val="Heading3"/>
      </w:pPr>
    </w:p>
    <w:p w:rsidR="00EF75F1" w:rsidRPr="00EF75F1" w:rsidRDefault="00EF75F1" w:rsidP="00EF75F1">
      <w:pPr>
        <w:jc w:val="both"/>
        <w:rPr>
          <w:sz w:val="20"/>
          <w:szCs w:val="20"/>
        </w:rPr>
      </w:pPr>
      <w:r w:rsidRPr="00AF1713">
        <w:rPr>
          <w:szCs w:val="20"/>
        </w:rPr>
        <w:t>Calculations are p</w:t>
      </w:r>
      <w:r>
        <w:rPr>
          <w:szCs w:val="20"/>
        </w:rPr>
        <w:t>e</w:t>
      </w:r>
      <w:r w:rsidRPr="00AF1713">
        <w:rPr>
          <w:szCs w:val="20"/>
        </w:rPr>
        <w:t>rfo</w:t>
      </w:r>
      <w:r>
        <w:rPr>
          <w:szCs w:val="20"/>
        </w:rPr>
        <w:t>r</w:t>
      </w:r>
      <w:r w:rsidRPr="00AF1713">
        <w:rPr>
          <w:szCs w:val="20"/>
        </w:rPr>
        <w:t xml:space="preserve">med based on additional pkm and tkm of rail. Using the load factor of trucks/buses </w:t>
      </w:r>
      <w:r w:rsidR="00D27EAD">
        <w:rPr>
          <w:szCs w:val="20"/>
        </w:rPr>
        <w:t xml:space="preserve">the additional baseline </w:t>
      </w:r>
      <w:r w:rsidRPr="00AF1713">
        <w:rPr>
          <w:szCs w:val="20"/>
        </w:rPr>
        <w:t xml:space="preserve">distance </w:t>
      </w:r>
      <w:r w:rsidR="00D27EAD">
        <w:rPr>
          <w:szCs w:val="20"/>
        </w:rPr>
        <w:t xml:space="preserve">driven by </w:t>
      </w:r>
      <w:r w:rsidRPr="00AF1713">
        <w:rPr>
          <w:szCs w:val="20"/>
        </w:rPr>
        <w:t xml:space="preserve">buses and trucks can be calculated which then results in </w:t>
      </w:r>
      <w:r>
        <w:rPr>
          <w:szCs w:val="20"/>
        </w:rPr>
        <w:t xml:space="preserve">additional road space required to </w:t>
      </w:r>
      <w:r w:rsidR="00D27EAD">
        <w:rPr>
          <w:szCs w:val="20"/>
        </w:rPr>
        <w:t xml:space="preserve">accommodate </w:t>
      </w:r>
      <w:r>
        <w:rPr>
          <w:szCs w:val="20"/>
        </w:rPr>
        <w:t>these vehicles</w:t>
      </w:r>
      <w:r w:rsidRPr="00AF1713">
        <w:rPr>
          <w:szCs w:val="20"/>
        </w:rPr>
        <w:t>.</w:t>
      </w:r>
      <w:r>
        <w:rPr>
          <w:szCs w:val="20"/>
        </w:rPr>
        <w:t xml:space="preserve"> The avoided indirect emissions from road construction are for the year 2030 3,000 tCO</w:t>
      </w:r>
      <w:r w:rsidRPr="00AF1713">
        <w:rPr>
          <w:szCs w:val="20"/>
          <w:vertAlign w:val="subscript"/>
        </w:rPr>
        <w:t>2</w:t>
      </w:r>
      <w:r>
        <w:rPr>
          <w:szCs w:val="20"/>
        </w:rPr>
        <w:t xml:space="preserve"> whilst the additional indirect GHG emissions due to rail track construction are 18,000 tCO</w:t>
      </w:r>
      <w:r w:rsidRPr="00AF1713">
        <w:rPr>
          <w:szCs w:val="20"/>
          <w:vertAlign w:val="subscript"/>
        </w:rPr>
        <w:t>2</w:t>
      </w:r>
      <w:r>
        <w:rPr>
          <w:szCs w:val="20"/>
        </w:rPr>
        <w:t xml:space="preserve"> i.e. around 15,000 tCO</w:t>
      </w:r>
      <w:r w:rsidRPr="00AF1713">
        <w:rPr>
          <w:szCs w:val="20"/>
          <w:vertAlign w:val="subscript"/>
        </w:rPr>
        <w:t>2</w:t>
      </w:r>
      <w:r>
        <w:rPr>
          <w:szCs w:val="20"/>
        </w:rPr>
        <w:t xml:space="preserve"> additional indirect emissions are caused by the NAMA</w:t>
      </w:r>
      <w:r w:rsidR="00D27EAD">
        <w:rPr>
          <w:szCs w:val="20"/>
        </w:rPr>
        <w:t xml:space="preserve"> due to construction activities</w:t>
      </w:r>
      <w:r>
        <w:rPr>
          <w:szCs w:val="20"/>
        </w:rPr>
        <w:t xml:space="preserve">. </w:t>
      </w:r>
      <w:r>
        <w:rPr>
          <w:sz w:val="20"/>
          <w:szCs w:val="20"/>
        </w:rPr>
        <w:t xml:space="preserve"> </w:t>
      </w:r>
    </w:p>
    <w:p w:rsidR="00256D11" w:rsidRDefault="00256D11" w:rsidP="00ED622F">
      <w:pPr>
        <w:pStyle w:val="Heading3"/>
        <w:numPr>
          <w:ilvl w:val="2"/>
          <w:numId w:val="1"/>
        </w:numPr>
      </w:pPr>
      <w:bookmarkStart w:id="22" w:name="_Toc466207348"/>
      <w:r w:rsidRPr="003268A4">
        <w:t>Vehicle Manufacturing Emissions</w:t>
      </w:r>
      <w:bookmarkEnd w:id="22"/>
      <w:r w:rsidRPr="003268A4">
        <w:t xml:space="preserve"> </w:t>
      </w:r>
    </w:p>
    <w:p w:rsidR="00A1485A" w:rsidRPr="00A1485A" w:rsidRDefault="00A1485A" w:rsidP="00A1485A"/>
    <w:p w:rsidR="00ED622F" w:rsidRDefault="00256D11" w:rsidP="00ED622F">
      <w:pPr>
        <w:jc w:val="both"/>
      </w:pPr>
      <w:r>
        <w:t xml:space="preserve">This leakage refers to the construction and de-construction of vehicles in the manufacturing process i.e. upstream and downstream emission sources. </w:t>
      </w:r>
      <w:r w:rsidRPr="00DD2A7D">
        <w:t xml:space="preserve">In the </w:t>
      </w:r>
      <w:r>
        <w:t xml:space="preserve">baseline case more buses and trucks are </w:t>
      </w:r>
      <w:r w:rsidR="00D27EAD">
        <w:t xml:space="preserve">required compared to the NAMA scenario </w:t>
      </w:r>
      <w:r w:rsidR="00A1485A">
        <w:t xml:space="preserve">whilst in latter more locomotives and carriages are </w:t>
      </w:r>
      <w:r w:rsidR="00D27EAD">
        <w:lastRenderedPageBreak/>
        <w:t>demanded</w:t>
      </w:r>
      <w:r w:rsidRPr="00DD2A7D">
        <w:t xml:space="preserve">. </w:t>
      </w:r>
      <w:r w:rsidR="00ED622F">
        <w:t>The following table shows core parameters required for an assessment of the magnitude and the direction of the impact.</w:t>
      </w:r>
    </w:p>
    <w:p w:rsidR="00ED622F" w:rsidRPr="00187E68" w:rsidRDefault="00187E68" w:rsidP="00187E68">
      <w:pPr>
        <w:pStyle w:val="NoSpacing"/>
        <w:rPr>
          <w:b/>
          <w:sz w:val="20"/>
        </w:rPr>
      </w:pPr>
      <w:r w:rsidRPr="00187E68">
        <w:rPr>
          <w:b/>
          <w:sz w:val="20"/>
        </w:rPr>
        <w:t xml:space="preserve">Table </w:t>
      </w:r>
      <w:r w:rsidRPr="00187E68">
        <w:rPr>
          <w:b/>
          <w:sz w:val="20"/>
        </w:rPr>
        <w:fldChar w:fldCharType="begin"/>
      </w:r>
      <w:r w:rsidRPr="00187E68">
        <w:rPr>
          <w:b/>
          <w:sz w:val="20"/>
        </w:rPr>
        <w:instrText xml:space="preserve"> SEQ Table \* ARABIC </w:instrText>
      </w:r>
      <w:r w:rsidRPr="00187E68">
        <w:rPr>
          <w:b/>
          <w:sz w:val="20"/>
        </w:rPr>
        <w:fldChar w:fldCharType="separate"/>
      </w:r>
      <w:r w:rsidR="00AC6EDE">
        <w:rPr>
          <w:b/>
          <w:noProof/>
          <w:sz w:val="20"/>
        </w:rPr>
        <w:t>7</w:t>
      </w:r>
      <w:r w:rsidRPr="00187E68">
        <w:rPr>
          <w:b/>
          <w:sz w:val="20"/>
        </w:rPr>
        <w:fldChar w:fldCharType="end"/>
      </w:r>
      <w:r w:rsidR="00ED622F" w:rsidRPr="00187E68">
        <w:rPr>
          <w:b/>
          <w:sz w:val="20"/>
        </w:rPr>
        <w:t>: Parameters to Determine GHG Impact of Vehicle Manufacturing</w:t>
      </w:r>
    </w:p>
    <w:tbl>
      <w:tblPr>
        <w:tblStyle w:val="TableGrid"/>
        <w:tblW w:w="905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805"/>
        <w:gridCol w:w="2048"/>
        <w:gridCol w:w="5204"/>
      </w:tblGrid>
      <w:tr w:rsidR="00ED622F" w:rsidRPr="00A1485A" w:rsidTr="00ED622F">
        <w:tc>
          <w:tcPr>
            <w:tcW w:w="1805" w:type="dxa"/>
            <w:shd w:val="clear" w:color="auto" w:fill="DEEAF6" w:themeFill="accent1" w:themeFillTint="33"/>
          </w:tcPr>
          <w:p w:rsidR="00ED622F" w:rsidRPr="00A1485A" w:rsidRDefault="00ED622F" w:rsidP="00ED622F">
            <w:pPr>
              <w:pStyle w:val="NoSpacing"/>
              <w:rPr>
                <w:b/>
                <w:sz w:val="20"/>
                <w:szCs w:val="20"/>
              </w:rPr>
            </w:pPr>
            <w:r>
              <w:rPr>
                <w:b/>
                <w:sz w:val="20"/>
                <w:szCs w:val="20"/>
              </w:rPr>
              <w:t>Parameter</w:t>
            </w:r>
          </w:p>
        </w:tc>
        <w:tc>
          <w:tcPr>
            <w:tcW w:w="2048" w:type="dxa"/>
            <w:shd w:val="clear" w:color="auto" w:fill="DEEAF6" w:themeFill="accent1" w:themeFillTint="33"/>
          </w:tcPr>
          <w:p w:rsidR="00ED622F" w:rsidRPr="00A1485A" w:rsidRDefault="00ED622F" w:rsidP="00ED622F">
            <w:pPr>
              <w:pStyle w:val="NoSpacing"/>
              <w:jc w:val="center"/>
              <w:rPr>
                <w:b/>
                <w:sz w:val="20"/>
                <w:szCs w:val="20"/>
              </w:rPr>
            </w:pPr>
            <w:r w:rsidRPr="00A1485A">
              <w:rPr>
                <w:b/>
                <w:sz w:val="20"/>
                <w:szCs w:val="20"/>
              </w:rPr>
              <w:t>Value</w:t>
            </w:r>
          </w:p>
        </w:tc>
        <w:tc>
          <w:tcPr>
            <w:tcW w:w="5204" w:type="dxa"/>
            <w:shd w:val="clear" w:color="auto" w:fill="DEEAF6" w:themeFill="accent1" w:themeFillTint="33"/>
          </w:tcPr>
          <w:p w:rsidR="00ED622F" w:rsidRPr="00A1485A" w:rsidRDefault="00ED622F" w:rsidP="00ED622F">
            <w:pPr>
              <w:pStyle w:val="NoSpacing"/>
              <w:rPr>
                <w:b/>
                <w:sz w:val="20"/>
                <w:szCs w:val="20"/>
              </w:rPr>
            </w:pPr>
            <w:r w:rsidRPr="00A1485A">
              <w:rPr>
                <w:b/>
                <w:sz w:val="20"/>
                <w:szCs w:val="20"/>
              </w:rPr>
              <w:t>Source, Comment</w:t>
            </w:r>
          </w:p>
        </w:tc>
      </w:tr>
      <w:tr w:rsidR="00ED622F" w:rsidRPr="00A1485A" w:rsidTr="00ED622F">
        <w:tc>
          <w:tcPr>
            <w:tcW w:w="1805" w:type="dxa"/>
          </w:tcPr>
          <w:p w:rsidR="00ED622F" w:rsidRPr="00C176CD" w:rsidRDefault="00ED622F" w:rsidP="00ED622F">
            <w:pPr>
              <w:rPr>
                <w:sz w:val="20"/>
                <w:szCs w:val="20"/>
              </w:rPr>
            </w:pPr>
            <w:r w:rsidRPr="00C176CD">
              <w:rPr>
                <w:sz w:val="20"/>
                <w:szCs w:val="20"/>
              </w:rPr>
              <w:t>Emission Factor for manufacturing of vehicle category i</w:t>
            </w:r>
          </w:p>
        </w:tc>
        <w:tc>
          <w:tcPr>
            <w:tcW w:w="2048" w:type="dxa"/>
          </w:tcPr>
          <w:p w:rsidR="00ED622F" w:rsidRPr="00C176CD" w:rsidRDefault="00ED622F" w:rsidP="00ED622F">
            <w:pPr>
              <w:jc w:val="center"/>
              <w:rPr>
                <w:sz w:val="20"/>
                <w:szCs w:val="20"/>
              </w:rPr>
            </w:pPr>
            <w:r w:rsidRPr="00C176CD">
              <w:rPr>
                <w:sz w:val="20"/>
                <w:szCs w:val="20"/>
              </w:rPr>
              <w:t>40 gCO</w:t>
            </w:r>
            <w:r w:rsidRPr="00C176CD">
              <w:rPr>
                <w:sz w:val="20"/>
                <w:szCs w:val="20"/>
                <w:vertAlign w:val="subscript"/>
              </w:rPr>
              <w:t>2</w:t>
            </w:r>
            <w:r w:rsidRPr="00C176CD">
              <w:rPr>
                <w:sz w:val="20"/>
                <w:szCs w:val="20"/>
              </w:rPr>
              <w:t>/km per annum bus</w:t>
            </w:r>
            <w:r>
              <w:rPr>
                <w:sz w:val="20"/>
                <w:szCs w:val="20"/>
              </w:rPr>
              <w:t xml:space="preserve"> / truck</w:t>
            </w:r>
          </w:p>
          <w:p w:rsidR="00ED622F" w:rsidRPr="00C176CD" w:rsidRDefault="00ED622F" w:rsidP="00ED622F">
            <w:pPr>
              <w:jc w:val="center"/>
              <w:rPr>
                <w:sz w:val="20"/>
                <w:szCs w:val="20"/>
              </w:rPr>
            </w:pPr>
          </w:p>
        </w:tc>
        <w:tc>
          <w:tcPr>
            <w:tcW w:w="5204" w:type="dxa"/>
          </w:tcPr>
          <w:p w:rsidR="00ED622F" w:rsidRPr="00C176CD" w:rsidRDefault="00ED622F" w:rsidP="00ED622F">
            <w:pPr>
              <w:rPr>
                <w:sz w:val="20"/>
                <w:szCs w:val="20"/>
              </w:rPr>
            </w:pPr>
            <w:r w:rsidRPr="00C176CD">
              <w:rPr>
                <w:sz w:val="20"/>
                <w:szCs w:val="20"/>
              </w:rPr>
              <w:t>All data based on production based emissions for the average lifetime distance driven of the vehicle</w:t>
            </w:r>
            <w:r>
              <w:rPr>
                <w:sz w:val="20"/>
                <w:szCs w:val="20"/>
              </w:rPr>
              <w:t xml:space="preserve"> assumed in 1 million km; </w:t>
            </w:r>
            <w:r w:rsidRPr="00C176CD">
              <w:rPr>
                <w:sz w:val="20"/>
                <w:szCs w:val="20"/>
              </w:rPr>
              <w:t xml:space="preserve">database ecoinvent </w:t>
            </w:r>
            <w:r w:rsidRPr="00C176CD">
              <w:rPr>
                <w:rStyle w:val="FootnoteReference"/>
                <w:sz w:val="20"/>
                <w:szCs w:val="20"/>
              </w:rPr>
              <w:footnoteReference w:id="55"/>
            </w:r>
          </w:p>
        </w:tc>
      </w:tr>
      <w:tr w:rsidR="00ED622F" w:rsidRPr="00A1485A" w:rsidTr="00ED622F">
        <w:tc>
          <w:tcPr>
            <w:tcW w:w="1805" w:type="dxa"/>
          </w:tcPr>
          <w:p w:rsidR="00ED622F" w:rsidRPr="00C176CD" w:rsidRDefault="00ED622F" w:rsidP="00ED622F">
            <w:pPr>
              <w:rPr>
                <w:sz w:val="20"/>
                <w:szCs w:val="20"/>
              </w:rPr>
            </w:pPr>
            <w:r w:rsidRPr="00C176CD">
              <w:rPr>
                <w:sz w:val="20"/>
                <w:szCs w:val="20"/>
              </w:rPr>
              <w:t>Emission Factor for manufacturing of rail vehicles</w:t>
            </w:r>
          </w:p>
        </w:tc>
        <w:tc>
          <w:tcPr>
            <w:tcW w:w="2048" w:type="dxa"/>
          </w:tcPr>
          <w:p w:rsidR="00ED622F" w:rsidRPr="00C176CD" w:rsidRDefault="00ED622F" w:rsidP="00ED622F">
            <w:pPr>
              <w:rPr>
                <w:sz w:val="20"/>
                <w:szCs w:val="20"/>
              </w:rPr>
            </w:pPr>
            <w:r>
              <w:rPr>
                <w:sz w:val="20"/>
                <w:szCs w:val="20"/>
              </w:rPr>
              <w:t>1.3</w:t>
            </w:r>
            <w:r w:rsidRPr="00C176CD">
              <w:rPr>
                <w:sz w:val="20"/>
                <w:szCs w:val="20"/>
              </w:rPr>
              <w:t xml:space="preserve"> tCO</w:t>
            </w:r>
            <w:r w:rsidRPr="00C176CD">
              <w:rPr>
                <w:sz w:val="20"/>
                <w:szCs w:val="20"/>
                <w:vertAlign w:val="subscript"/>
              </w:rPr>
              <w:t>2</w:t>
            </w:r>
            <w:r w:rsidRPr="00C176CD">
              <w:rPr>
                <w:sz w:val="20"/>
                <w:szCs w:val="20"/>
              </w:rPr>
              <w:t xml:space="preserve"> /carriage per annum</w:t>
            </w:r>
            <w:r>
              <w:rPr>
                <w:sz w:val="20"/>
                <w:szCs w:val="20"/>
              </w:rPr>
              <w:t xml:space="preserve"> and 2.6</w:t>
            </w:r>
            <w:r w:rsidRPr="00C176CD">
              <w:rPr>
                <w:sz w:val="20"/>
                <w:szCs w:val="20"/>
              </w:rPr>
              <w:t xml:space="preserve"> tCO</w:t>
            </w:r>
            <w:r w:rsidRPr="00C176CD">
              <w:rPr>
                <w:sz w:val="20"/>
                <w:szCs w:val="20"/>
                <w:vertAlign w:val="subscript"/>
              </w:rPr>
              <w:t>2</w:t>
            </w:r>
            <w:r w:rsidRPr="00C176CD">
              <w:rPr>
                <w:sz w:val="20"/>
                <w:szCs w:val="20"/>
              </w:rPr>
              <w:t xml:space="preserve"> /</w:t>
            </w:r>
            <w:r>
              <w:rPr>
                <w:sz w:val="20"/>
                <w:szCs w:val="20"/>
              </w:rPr>
              <w:t xml:space="preserve"> loco</w:t>
            </w:r>
            <w:r w:rsidRPr="00C176CD">
              <w:rPr>
                <w:sz w:val="20"/>
                <w:szCs w:val="20"/>
              </w:rPr>
              <w:t xml:space="preserve"> per annum</w:t>
            </w:r>
          </w:p>
        </w:tc>
        <w:tc>
          <w:tcPr>
            <w:tcW w:w="5204" w:type="dxa"/>
          </w:tcPr>
          <w:p w:rsidR="00ED622F" w:rsidRPr="00C176CD" w:rsidRDefault="00ED622F" w:rsidP="00ED622F">
            <w:pPr>
              <w:rPr>
                <w:sz w:val="20"/>
                <w:szCs w:val="20"/>
              </w:rPr>
            </w:pPr>
            <w:r w:rsidRPr="00C176CD">
              <w:rPr>
                <w:sz w:val="20"/>
                <w:szCs w:val="20"/>
              </w:rPr>
              <w:t>Based on EU figures</w:t>
            </w:r>
            <w:r w:rsidRPr="00C176CD">
              <w:rPr>
                <w:rStyle w:val="FootnoteReference"/>
                <w:sz w:val="20"/>
                <w:szCs w:val="20"/>
              </w:rPr>
              <w:footnoteReference w:id="56"/>
            </w:r>
            <w:r w:rsidRPr="00C176CD">
              <w:rPr>
                <w:sz w:val="20"/>
                <w:szCs w:val="20"/>
              </w:rPr>
              <w:t xml:space="preserve"> with a life-span of 40 years for units.</w:t>
            </w:r>
          </w:p>
        </w:tc>
      </w:tr>
      <w:tr w:rsidR="00ED622F" w:rsidRPr="00A1485A" w:rsidTr="00ED622F">
        <w:tc>
          <w:tcPr>
            <w:tcW w:w="1805" w:type="dxa"/>
          </w:tcPr>
          <w:p w:rsidR="00ED622F" w:rsidRPr="00C176CD" w:rsidRDefault="00ED622F" w:rsidP="00ED622F">
            <w:pPr>
              <w:rPr>
                <w:sz w:val="20"/>
                <w:szCs w:val="20"/>
              </w:rPr>
            </w:pPr>
            <w:r w:rsidRPr="00C176CD">
              <w:rPr>
                <w:sz w:val="20"/>
                <w:szCs w:val="20"/>
              </w:rPr>
              <w:t xml:space="preserve">Additional rail carriages and locos </w:t>
            </w:r>
          </w:p>
        </w:tc>
        <w:tc>
          <w:tcPr>
            <w:tcW w:w="2048" w:type="dxa"/>
          </w:tcPr>
          <w:p w:rsidR="00ED622F" w:rsidRPr="00C176CD" w:rsidRDefault="0045202B" w:rsidP="00ED622F">
            <w:pPr>
              <w:jc w:val="center"/>
              <w:rPr>
                <w:sz w:val="20"/>
                <w:szCs w:val="20"/>
              </w:rPr>
            </w:pPr>
            <w:r>
              <w:rPr>
                <w:sz w:val="20"/>
                <w:szCs w:val="20"/>
              </w:rPr>
              <w:t>300 locos and 3,000 carriages</w:t>
            </w:r>
          </w:p>
        </w:tc>
        <w:tc>
          <w:tcPr>
            <w:tcW w:w="5204" w:type="dxa"/>
          </w:tcPr>
          <w:p w:rsidR="00ED622F" w:rsidRPr="00C176CD" w:rsidRDefault="0045202B" w:rsidP="00ED622F">
            <w:pPr>
              <w:rPr>
                <w:sz w:val="20"/>
                <w:szCs w:val="20"/>
              </w:rPr>
            </w:pPr>
            <w:r>
              <w:rPr>
                <w:sz w:val="20"/>
                <w:szCs w:val="20"/>
              </w:rPr>
              <w:t>BR Master Plan, chapter</w:t>
            </w:r>
            <w:r w:rsidR="00215B87">
              <w:rPr>
                <w:sz w:val="20"/>
                <w:szCs w:val="20"/>
              </w:rPr>
              <w:t xml:space="preserve"> 9</w:t>
            </w:r>
          </w:p>
        </w:tc>
      </w:tr>
    </w:tbl>
    <w:p w:rsidR="00256D11" w:rsidRDefault="00256D11" w:rsidP="00187E68">
      <w:pPr>
        <w:pStyle w:val="NoSpacing"/>
      </w:pPr>
    </w:p>
    <w:p w:rsidR="00187E68" w:rsidRDefault="00AF1713" w:rsidP="00187E68">
      <w:pPr>
        <w:jc w:val="both"/>
      </w:pPr>
      <w:r w:rsidRPr="00AF1713">
        <w:rPr>
          <w:szCs w:val="20"/>
        </w:rPr>
        <w:t>Calculations are p</w:t>
      </w:r>
      <w:r>
        <w:rPr>
          <w:szCs w:val="20"/>
        </w:rPr>
        <w:t>e</w:t>
      </w:r>
      <w:r w:rsidRPr="00AF1713">
        <w:rPr>
          <w:szCs w:val="20"/>
        </w:rPr>
        <w:t>rfo</w:t>
      </w:r>
      <w:r>
        <w:rPr>
          <w:szCs w:val="20"/>
        </w:rPr>
        <w:t>r</w:t>
      </w:r>
      <w:r w:rsidRPr="00AF1713">
        <w:rPr>
          <w:szCs w:val="20"/>
        </w:rPr>
        <w:t xml:space="preserve">med based on additional pkm and tkm of rail. </w:t>
      </w:r>
      <w:r>
        <w:rPr>
          <w:szCs w:val="20"/>
        </w:rPr>
        <w:t>The avoided indirect emissions from road vehicle manufacturing are for the year 2030 16,000 tCO</w:t>
      </w:r>
      <w:r w:rsidRPr="00AF1713">
        <w:rPr>
          <w:szCs w:val="20"/>
          <w:vertAlign w:val="subscript"/>
        </w:rPr>
        <w:t>2</w:t>
      </w:r>
      <w:r>
        <w:rPr>
          <w:szCs w:val="20"/>
        </w:rPr>
        <w:t xml:space="preserve"> whilst the additional indirect GHG emissions due to rail vehicle construction are 5,000 tCO</w:t>
      </w:r>
      <w:r w:rsidRPr="00AF1713">
        <w:rPr>
          <w:szCs w:val="20"/>
          <w:vertAlign w:val="subscript"/>
        </w:rPr>
        <w:t>2</w:t>
      </w:r>
      <w:r>
        <w:rPr>
          <w:szCs w:val="20"/>
        </w:rPr>
        <w:t xml:space="preserve"> i.e. around 11,000 tCO</w:t>
      </w:r>
      <w:r w:rsidRPr="00AF1713">
        <w:rPr>
          <w:szCs w:val="20"/>
          <w:vertAlign w:val="subscript"/>
        </w:rPr>
        <w:t>2</w:t>
      </w:r>
      <w:r>
        <w:rPr>
          <w:szCs w:val="20"/>
        </w:rPr>
        <w:t xml:space="preserve"> indirect emissions are avoided by the NAMA</w:t>
      </w:r>
      <w:r w:rsidR="00D27EAD">
        <w:rPr>
          <w:szCs w:val="20"/>
        </w:rPr>
        <w:t xml:space="preserve"> in the area of vehicle manufacturing emissions</w:t>
      </w:r>
      <w:r>
        <w:rPr>
          <w:szCs w:val="20"/>
        </w:rPr>
        <w:t xml:space="preserve">. </w:t>
      </w:r>
      <w:r>
        <w:rPr>
          <w:sz w:val="20"/>
          <w:szCs w:val="20"/>
        </w:rPr>
        <w:t xml:space="preserve"> </w:t>
      </w:r>
    </w:p>
    <w:p w:rsidR="00256D11" w:rsidRDefault="00187E68" w:rsidP="00187E68">
      <w:pPr>
        <w:pStyle w:val="Heading3"/>
        <w:ind w:firstLine="720"/>
      </w:pPr>
      <w:bookmarkStart w:id="23" w:name="_Toc466207349"/>
      <w:r>
        <w:t xml:space="preserve">6.7.4. </w:t>
      </w:r>
      <w:r w:rsidR="00256D11" w:rsidRPr="003268A4">
        <w:t>Congestion Change Impact</w:t>
      </w:r>
      <w:bookmarkEnd w:id="23"/>
    </w:p>
    <w:p w:rsidR="00187E68" w:rsidRPr="00187E68" w:rsidRDefault="00187E68" w:rsidP="00187E68"/>
    <w:p w:rsidR="00256D11" w:rsidRDefault="00256D11" w:rsidP="00187E68">
      <w:pPr>
        <w:tabs>
          <w:tab w:val="left" w:pos="567"/>
        </w:tabs>
        <w:jc w:val="both"/>
      </w:pPr>
      <w:r>
        <w:t xml:space="preserve">This includes a speed effect (changing GHG emissions due to change of vehicle moving speed provoked through less congestion) and a possible rebound effect (additional trips due to reduced congestion). The sum of both effects can be of positive or negative nature due to the fact that GHG tailpipe emissions decrease </w:t>
      </w:r>
      <w:r w:rsidR="00A1485A">
        <w:t xml:space="preserve">up to a certain </w:t>
      </w:r>
      <w:r>
        <w:t xml:space="preserve">speed </w:t>
      </w:r>
      <w:r w:rsidRPr="00860D7B">
        <w:t xml:space="preserve">range </w:t>
      </w:r>
      <w:r>
        <w:t>and thereafter increase again</w:t>
      </w:r>
      <w:r w:rsidRPr="00860D7B">
        <w:t>.</w:t>
      </w:r>
      <w:r>
        <w:t xml:space="preserve"> In the baseline more vehicles would circulate. This can result in two possible outcomes:</w:t>
      </w:r>
    </w:p>
    <w:p w:rsidR="00256D11" w:rsidRPr="00256D11" w:rsidRDefault="00256D11" w:rsidP="00256D11">
      <w:pPr>
        <w:pStyle w:val="ListParagraph"/>
        <w:numPr>
          <w:ilvl w:val="0"/>
          <w:numId w:val="15"/>
        </w:numPr>
        <w:jc w:val="both"/>
        <w:rPr>
          <w:lang w:val="en-GB"/>
        </w:rPr>
      </w:pPr>
      <w:r w:rsidRPr="00256D11">
        <w:rPr>
          <w:lang w:val="en-GB"/>
        </w:rPr>
        <w:t>Additional road-space is built i.e. additional lanes to keep the congestion at a constant level (i.e. in the baseline case more road space is built than in the project case).</w:t>
      </w:r>
    </w:p>
    <w:p w:rsidR="00256D11" w:rsidRPr="00256D11" w:rsidRDefault="00256D11" w:rsidP="00256D11">
      <w:pPr>
        <w:pStyle w:val="ListParagraph"/>
        <w:numPr>
          <w:ilvl w:val="0"/>
          <w:numId w:val="15"/>
        </w:numPr>
        <w:jc w:val="both"/>
        <w:rPr>
          <w:lang w:val="en-GB"/>
        </w:rPr>
      </w:pPr>
      <w:r w:rsidRPr="00256D11">
        <w:rPr>
          <w:lang w:val="en-GB"/>
        </w:rPr>
        <w:t>The congestion increases (i.e. is higher in the baseline case than in the project case). This would result in a speed effect (positive or negative depending on the speed with and without project) and a potential negative rebound effect</w:t>
      </w:r>
      <w:r>
        <w:rPr>
          <w:rStyle w:val="FootnoteReference"/>
        </w:rPr>
        <w:footnoteReference w:id="57"/>
      </w:r>
      <w:r w:rsidRPr="00256D11">
        <w:rPr>
          <w:lang w:val="en-GB"/>
        </w:rPr>
        <w:t>. The incidence of rebound on inter-urban trips is however considered as marginal as the trip purpose itself is exogenously given i.e. not influenced by the road congestion conditions. This is different in city settings where rebound effects can have a major magnitude due to changing trip routes, changing trip times or making additional or longer trips (e.g. choosing a different shopping centre or visiting a friend).</w:t>
      </w:r>
    </w:p>
    <w:p w:rsidR="00256D11" w:rsidRDefault="00256D11" w:rsidP="00256D11">
      <w:pPr>
        <w:jc w:val="both"/>
      </w:pPr>
      <w:r>
        <w:t xml:space="preserve">To avoid double–counting of leakage with additional road construction and due to data difficulties in determining actual speed and congestion levels over an entire network of roads this potential leakage source is not addressed but considered within additional road construction i.e. leakage is determined assuming that the congestion level remains constant and therefore additional vehicles require additional road construction without assuming speed or rebound effects. </w:t>
      </w:r>
    </w:p>
    <w:p w:rsidR="00256D11" w:rsidRDefault="00187E68" w:rsidP="00187E68">
      <w:pPr>
        <w:pStyle w:val="Heading3"/>
        <w:ind w:firstLine="720"/>
      </w:pPr>
      <w:r>
        <w:br w:type="column"/>
      </w:r>
      <w:bookmarkStart w:id="24" w:name="_Toc466207350"/>
      <w:r>
        <w:lastRenderedPageBreak/>
        <w:t xml:space="preserve">6.7.5. </w:t>
      </w:r>
      <w:r w:rsidR="00AF1713">
        <w:t>Summary Indirect Emissions</w:t>
      </w:r>
      <w:bookmarkEnd w:id="24"/>
    </w:p>
    <w:p w:rsidR="00AF1713" w:rsidRDefault="00AF1713" w:rsidP="00AF1713"/>
    <w:p w:rsidR="00AF1713" w:rsidRDefault="00AF1713" w:rsidP="00AF1713">
      <w:pPr>
        <w:jc w:val="both"/>
      </w:pPr>
      <w:r>
        <w:t>The major indirect emission source apart from upstream fuel emissions for the baseline represent the road vehicle manufacturi</w:t>
      </w:r>
      <w:r w:rsidR="00EF75F1">
        <w:t>ng emissions. These represent 80</w:t>
      </w:r>
      <w:r>
        <w:t>% of total indirect baseline emissions. Total indirect baseline emissions for the year 2030 represent 2</w:t>
      </w:r>
      <w:r w:rsidR="00EF75F1">
        <w:t>.5</w:t>
      </w:r>
      <w:r>
        <w:t xml:space="preserve">% of total baseline GHG emissions WTW incl. BC i.e. are not significant. </w:t>
      </w:r>
    </w:p>
    <w:p w:rsidR="00EF75F1" w:rsidRDefault="00AF1713" w:rsidP="00AF1713">
      <w:pPr>
        <w:jc w:val="both"/>
      </w:pPr>
      <w:r>
        <w:t>The major indirect emission source apart from upstream fuel emissions for the NAMA scenario represent the rail construction emissions</w:t>
      </w:r>
      <w:r w:rsidR="00EF75F1">
        <w:t xml:space="preserve"> with 80% of total indirect emissions</w:t>
      </w:r>
      <w:r>
        <w:t xml:space="preserve">. Total indirect NAMA emissions for the year 2030 represent less than </w:t>
      </w:r>
      <w:r w:rsidR="00EF75F1" w:rsidRPr="00EF75F1">
        <w:t>8</w:t>
      </w:r>
      <w:r w:rsidRPr="00EF75F1">
        <w:t>%</w:t>
      </w:r>
      <w:r>
        <w:t xml:space="preserve"> of total N</w:t>
      </w:r>
      <w:r w:rsidR="00EF75F1">
        <w:t>AMA GHG emissions WTW incl. BC</w:t>
      </w:r>
      <w:r>
        <w:t>.</w:t>
      </w:r>
    </w:p>
    <w:p w:rsidR="00AF1713" w:rsidRDefault="00EF75F1" w:rsidP="00AF1713">
      <w:pPr>
        <w:jc w:val="both"/>
      </w:pPr>
      <w:r>
        <w:t>The net additional indirect GHG emissions are for the year 2030 4,000 tCO</w:t>
      </w:r>
      <w:r w:rsidRPr="00EF75F1">
        <w:rPr>
          <w:vertAlign w:val="subscript"/>
        </w:rPr>
        <w:t>2</w:t>
      </w:r>
      <w:r>
        <w:t xml:space="preserve"> which represent less than 1% of projected emission reductions for the same year. This is marginal and therefore the indirect emissions are not further included with exception of the WTT emissions which represent around 25% of TTW emi</w:t>
      </w:r>
      <w:r w:rsidR="00D27EAD">
        <w:t>ssions</w:t>
      </w:r>
      <w:r>
        <w:t>.</w:t>
      </w:r>
      <w:r w:rsidR="00AF1713">
        <w:t xml:space="preserve"> </w:t>
      </w:r>
    </w:p>
    <w:p w:rsidR="00AE23C4" w:rsidRDefault="00D27EAD" w:rsidP="00187E68">
      <w:pPr>
        <w:pStyle w:val="Heading1"/>
        <w:ind w:firstLine="720"/>
      </w:pPr>
      <w:r>
        <w:br w:type="column"/>
      </w:r>
      <w:bookmarkStart w:id="25" w:name="_Toc466207351"/>
      <w:r w:rsidR="00187E68">
        <w:lastRenderedPageBreak/>
        <w:t xml:space="preserve">7. </w:t>
      </w:r>
      <w:r w:rsidR="00AE23C4">
        <w:t>Sustainable Development Impact</w:t>
      </w:r>
      <w:bookmarkEnd w:id="25"/>
    </w:p>
    <w:p w:rsidR="00AE23C4" w:rsidRDefault="00187E68" w:rsidP="00187E68">
      <w:pPr>
        <w:pStyle w:val="Heading2"/>
        <w:ind w:firstLine="720"/>
      </w:pPr>
      <w:bookmarkStart w:id="26" w:name="_Toc466207352"/>
      <w:r>
        <w:t xml:space="preserve">7.1. </w:t>
      </w:r>
      <w:r w:rsidR="00C57D42">
        <w:t>Overview</w:t>
      </w:r>
      <w:bookmarkEnd w:id="26"/>
    </w:p>
    <w:p w:rsidR="00C57D42" w:rsidRPr="00C57D42" w:rsidRDefault="00C57D42" w:rsidP="00C57D42"/>
    <w:p w:rsidR="00C57D42" w:rsidRDefault="00C57D42" w:rsidP="00C57D42">
      <w:pPr>
        <w:jc w:val="both"/>
      </w:pPr>
      <w:r>
        <w:t xml:space="preserve">Sustainable development </w:t>
      </w:r>
      <w:r w:rsidR="00932907">
        <w:t xml:space="preserve">(SD) </w:t>
      </w:r>
      <w:r>
        <w:t xml:space="preserve">benefits are separated in the areas of economic, environmental and social benefits. Rail transport is associated with a wide range of externalities (positive and negative) arising out of the railways reach out to the community. The positive ones are in the form of greater industrialization, trade and commercialization activities, higher social mobility, property price appreciation, greater potential for tourism, etc. The negative ones are the environmental degradation resulting from railway operations (air, water and noise effects), accident related damage, barrier effect (communities severed by rail), etc. A large part of the positive or negative externalities are however the same or in the same magnitude for road based transit e.g. greater industrialization or trade and commerce activities. Therefore, the following section will focus on SD impacts which are differential between the road based BAU option and the NAMA scenario. </w:t>
      </w:r>
    </w:p>
    <w:p w:rsidR="00C57D42" w:rsidRDefault="00C57D42" w:rsidP="00C57D42">
      <w:pPr>
        <w:jc w:val="both"/>
      </w:pPr>
      <w:r>
        <w:t>The following SD benefits are looked at in detail:</w:t>
      </w:r>
    </w:p>
    <w:p w:rsidR="00C57D42" w:rsidRPr="00C57D42" w:rsidRDefault="00C57D42" w:rsidP="00C57D42">
      <w:pPr>
        <w:pStyle w:val="ListParagraph"/>
        <w:numPr>
          <w:ilvl w:val="0"/>
          <w:numId w:val="23"/>
        </w:numPr>
        <w:jc w:val="both"/>
        <w:rPr>
          <w:lang w:val="en-GB"/>
        </w:rPr>
      </w:pPr>
      <w:r w:rsidRPr="00C57D42">
        <w:rPr>
          <w:lang w:val="en-GB"/>
        </w:rPr>
        <w:t xml:space="preserve">Economic: </w:t>
      </w:r>
      <w:r>
        <w:rPr>
          <w:lang w:val="en-GB"/>
        </w:rPr>
        <w:t>E</w:t>
      </w:r>
      <w:r w:rsidRPr="00C57D42">
        <w:rPr>
          <w:lang w:val="en-GB"/>
        </w:rPr>
        <w:t>nergy security incl. conservation of energy sources and reduced dependency on imports;</w:t>
      </w:r>
      <w:r>
        <w:rPr>
          <w:lang w:val="en-GB"/>
        </w:rPr>
        <w:t xml:space="preserve"> Reduced accident costs; reduced air pollution costs. The impact on the job market is not </w:t>
      </w:r>
      <w:r w:rsidR="00932907">
        <w:rPr>
          <w:lang w:val="en-GB"/>
        </w:rPr>
        <w:t>considered to be significant as</w:t>
      </w:r>
      <w:r>
        <w:rPr>
          <w:lang w:val="en-GB"/>
        </w:rPr>
        <w:t xml:space="preserve"> on the one hand additional jobs are created within the rail sector whilst less jobs are required for road transport.</w:t>
      </w:r>
    </w:p>
    <w:p w:rsidR="00C57D42" w:rsidRPr="00C57D42" w:rsidRDefault="00C57D42" w:rsidP="00C57D42">
      <w:pPr>
        <w:pStyle w:val="ListParagraph"/>
        <w:numPr>
          <w:ilvl w:val="0"/>
          <w:numId w:val="23"/>
        </w:numPr>
        <w:jc w:val="both"/>
        <w:rPr>
          <w:lang w:val="en-GB"/>
        </w:rPr>
      </w:pPr>
      <w:r w:rsidRPr="00C57D42">
        <w:rPr>
          <w:lang w:val="en-GB"/>
        </w:rPr>
        <w:t>Social: Improvement of quality of life including health improvements and enhancement of safety standards</w:t>
      </w:r>
      <w:r w:rsidR="00932907">
        <w:rPr>
          <w:lang w:val="en-GB"/>
        </w:rPr>
        <w:t>.</w:t>
      </w:r>
      <w:r w:rsidRPr="00C57D42">
        <w:rPr>
          <w:lang w:val="en-GB"/>
        </w:rPr>
        <w:t xml:space="preserve"> The NAMA has no incidence i.e. the situation in the baseline and with a NAMA tend to be the same in terms of gender equality or on income and wealth distribution and therefore these aspects are not further discussed.</w:t>
      </w:r>
    </w:p>
    <w:p w:rsidR="00C57D42" w:rsidRPr="00C57D42" w:rsidRDefault="00C57D42" w:rsidP="00850B34">
      <w:pPr>
        <w:pStyle w:val="ListParagraph"/>
        <w:numPr>
          <w:ilvl w:val="0"/>
          <w:numId w:val="23"/>
        </w:numPr>
        <w:jc w:val="both"/>
        <w:rPr>
          <w:lang w:val="en-GB"/>
        </w:rPr>
      </w:pPr>
      <w:r w:rsidRPr="00C57D42">
        <w:rPr>
          <w:lang w:val="en-GB"/>
        </w:rPr>
        <w:t>Environment: air quality changes</w:t>
      </w:r>
      <w:r>
        <w:rPr>
          <w:lang w:val="en-GB"/>
        </w:rPr>
        <w:t xml:space="preserve"> in terms of NO</w:t>
      </w:r>
      <w:r w:rsidRPr="00C57D42">
        <w:rPr>
          <w:vertAlign w:val="subscript"/>
          <w:lang w:val="en-GB"/>
        </w:rPr>
        <w:t>x</w:t>
      </w:r>
      <w:r>
        <w:rPr>
          <w:lang w:val="en-GB"/>
        </w:rPr>
        <w:t xml:space="preserve"> and PM are included</w:t>
      </w:r>
      <w:r w:rsidRPr="00C57D42">
        <w:rPr>
          <w:lang w:val="en-GB"/>
        </w:rPr>
        <w:t>; The NAMA has no incidence i.e. the situation in the baseline case and with a NAMA tend</w:t>
      </w:r>
      <w:r>
        <w:rPr>
          <w:lang w:val="en-GB"/>
        </w:rPr>
        <w:t>s</w:t>
      </w:r>
      <w:r w:rsidRPr="00C57D42">
        <w:rPr>
          <w:lang w:val="en-GB"/>
        </w:rPr>
        <w:t xml:space="preserve"> to be the same concerning water, soil, waste and other pollutants. Rail transport will use reduced space compared to road transport. However</w:t>
      </w:r>
      <w:r>
        <w:rPr>
          <w:lang w:val="en-GB"/>
        </w:rPr>
        <w:t>,</w:t>
      </w:r>
      <w:r w:rsidRPr="00C57D42">
        <w:rPr>
          <w:lang w:val="en-GB"/>
        </w:rPr>
        <w:t xml:space="preserve"> the impact is of minor nature in inter-urban transport.</w:t>
      </w:r>
    </w:p>
    <w:p w:rsidR="00850B34" w:rsidRDefault="00850B34" w:rsidP="00850B34">
      <w:pPr>
        <w:jc w:val="both"/>
      </w:pPr>
      <w:r>
        <w:t>The following graph relates the core SD impacts of the NAMA.</w:t>
      </w:r>
    </w:p>
    <w:p w:rsidR="00850B34" w:rsidRDefault="00850B34" w:rsidP="00850B34">
      <w:pPr>
        <w:pStyle w:val="NoSpacing"/>
        <w:rPr>
          <w:b/>
          <w:sz w:val="20"/>
        </w:rPr>
      </w:pPr>
      <w:r w:rsidRPr="00850B34">
        <w:rPr>
          <w:rStyle w:val="NoSpacingChar"/>
          <w:b/>
          <w:sz w:val="20"/>
        </w:rPr>
        <w:t xml:space="preserve">Figure </w:t>
      </w:r>
      <w:r w:rsidRPr="00850B34">
        <w:rPr>
          <w:rStyle w:val="NoSpacingChar"/>
          <w:b/>
          <w:sz w:val="20"/>
        </w:rPr>
        <w:fldChar w:fldCharType="begin"/>
      </w:r>
      <w:r w:rsidRPr="00850B34">
        <w:rPr>
          <w:rStyle w:val="NoSpacingChar"/>
          <w:b/>
          <w:sz w:val="20"/>
        </w:rPr>
        <w:instrText xml:space="preserve"> SEQ Figure \* ARABIC </w:instrText>
      </w:r>
      <w:r w:rsidRPr="00850B34">
        <w:rPr>
          <w:rStyle w:val="NoSpacingChar"/>
          <w:b/>
          <w:sz w:val="20"/>
        </w:rPr>
        <w:fldChar w:fldCharType="separate"/>
      </w:r>
      <w:r w:rsidR="00AC6EDE">
        <w:rPr>
          <w:rStyle w:val="NoSpacingChar"/>
          <w:b/>
          <w:noProof/>
          <w:sz w:val="20"/>
        </w:rPr>
        <w:t>14</w:t>
      </w:r>
      <w:r w:rsidRPr="00850B34">
        <w:rPr>
          <w:rStyle w:val="NoSpacingChar"/>
          <w:b/>
          <w:sz w:val="20"/>
        </w:rPr>
        <w:fldChar w:fldCharType="end"/>
      </w:r>
      <w:r w:rsidRPr="00850B34">
        <w:rPr>
          <w:b/>
          <w:sz w:val="20"/>
        </w:rPr>
        <w:t>: Sustainable Development Impact of Rail NAMA</w:t>
      </w:r>
    </w:p>
    <w:p w:rsidR="00C57D42" w:rsidRDefault="00C57D42" w:rsidP="00850B34">
      <w:pPr>
        <w:rPr>
          <w:rFonts w:ascii="Calibri" w:eastAsia="Calibri" w:hAnsi="Calibri" w:cs="Times New Roman"/>
          <w:b/>
          <w:sz w:val="20"/>
        </w:rPr>
      </w:pPr>
    </w:p>
    <w:p w:rsidR="00850B34" w:rsidRDefault="00850B34" w:rsidP="00850B34">
      <w:r>
        <w:rPr>
          <w:noProof/>
          <w:lang w:eastAsia="en-GB"/>
        </w:rPr>
        <mc:AlternateContent>
          <mc:Choice Requires="wps">
            <w:drawing>
              <wp:anchor distT="0" distB="0" distL="114300" distR="114300" simplePos="0" relativeHeight="251684864" behindDoc="0" locked="0" layoutInCell="1" allowOverlap="1" wp14:anchorId="28906D7D" wp14:editId="47C52974">
                <wp:simplePos x="0" y="0"/>
                <wp:positionH relativeFrom="column">
                  <wp:posOffset>2110105</wp:posOffset>
                </wp:positionH>
                <wp:positionV relativeFrom="paragraph">
                  <wp:posOffset>5715</wp:posOffset>
                </wp:positionV>
                <wp:extent cx="1162050" cy="295275"/>
                <wp:effectExtent l="0" t="0" r="19050" b="28575"/>
                <wp:wrapNone/>
                <wp:docPr id="302"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95275"/>
                        </a:xfrm>
                        <a:prstGeom prst="rect">
                          <a:avLst/>
                        </a:prstGeom>
                        <a:solidFill>
                          <a:srgbClr val="1F497D">
                            <a:lumMod val="20000"/>
                            <a:lumOff val="80000"/>
                          </a:srgbClr>
                        </a:solidFill>
                        <a:ln w="9525">
                          <a:solidFill>
                            <a:srgbClr val="000000"/>
                          </a:solidFill>
                          <a:miter lim="800000"/>
                          <a:headEnd/>
                          <a:tailEnd/>
                        </a:ln>
                      </wps:spPr>
                      <wps:txbx>
                        <w:txbxContent>
                          <w:p w:rsidR="00100058" w:rsidRDefault="00100058" w:rsidP="00850B34">
                            <w:pPr>
                              <w:rPr>
                                <w:b/>
                              </w:rPr>
                            </w:pPr>
                            <w:r>
                              <w:rPr>
                                <w:b/>
                              </w:rPr>
                              <w:t>Major Outcome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906D7D" id="Text Box 302" o:spid="_x0000_s1030" type="#_x0000_t202" style="position:absolute;margin-left:166.15pt;margin-top:.45pt;width:91.5pt;height:23.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" fillcolor="#c6d9f1">
                <v:textbox>
                  <w:txbxContent>
                    <w:p w:rsidR="00100058" w:rsidRDefault="00100058" w:rsidP="00850B34">
                      <w:pPr>
                        <w:rPr>
                          <w:b/>
                        </w:rPr>
                      </w:pPr>
                      <w:r>
                        <w:rPr>
                          <w:b/>
                        </w:rPr>
                        <w:t>Major Outcome</w:t>
                      </w:r>
                    </w:p>
                  </w:txbxContent>
                </v:textbox>
              </v:shape>
            </w:pict>
          </mc:Fallback>
        </mc:AlternateContent>
      </w:r>
      <w:r>
        <w:rPr>
          <w:noProof/>
          <w:lang w:eastAsia="en-GB"/>
        </w:rPr>
        <mc:AlternateContent>
          <mc:Choice Requires="wps">
            <w:drawing>
              <wp:anchor distT="0" distB="0" distL="114300" distR="114300" simplePos="0" relativeHeight="251685888" behindDoc="0" locked="0" layoutInCell="1" allowOverlap="1" wp14:anchorId="71D42732" wp14:editId="72F0A41E">
                <wp:simplePos x="0" y="0"/>
                <wp:positionH relativeFrom="column">
                  <wp:posOffset>4043680</wp:posOffset>
                </wp:positionH>
                <wp:positionV relativeFrom="paragraph">
                  <wp:posOffset>-3810</wp:posOffset>
                </wp:positionV>
                <wp:extent cx="1638300" cy="323850"/>
                <wp:effectExtent l="0" t="0" r="19050" b="19050"/>
                <wp:wrapNone/>
                <wp:docPr id="313"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323850"/>
                        </a:xfrm>
                        <a:prstGeom prst="rect">
                          <a:avLst/>
                        </a:prstGeom>
                        <a:solidFill>
                          <a:srgbClr val="1F497D">
                            <a:lumMod val="20000"/>
                            <a:lumOff val="80000"/>
                          </a:srgbClr>
                        </a:solidFill>
                        <a:ln w="9525">
                          <a:solidFill>
                            <a:srgbClr val="000000"/>
                          </a:solidFill>
                          <a:miter lim="800000"/>
                          <a:headEnd/>
                          <a:tailEnd/>
                        </a:ln>
                      </wps:spPr>
                      <wps:txbx>
                        <w:txbxContent>
                          <w:p w:rsidR="00100058" w:rsidRDefault="00100058" w:rsidP="00850B34">
                            <w:pPr>
                              <w:jc w:val="center"/>
                              <w:rPr>
                                <w:b/>
                              </w:rPr>
                            </w:pPr>
                            <w:r>
                              <w:rPr>
                                <w:b/>
                              </w:rPr>
                              <w:t>SD Impacts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D42732" id="Text Box 313" o:spid="_x0000_s1031" type="#_x0000_t202" style="position:absolute;margin-left:318.4pt;margin-top:-.3pt;width:129pt;height:2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" fillcolor="#c6d9f1">
                <v:textbox>
                  <w:txbxContent>
                    <w:p w:rsidR="00100058" w:rsidRDefault="00100058" w:rsidP="00850B34">
                      <w:pPr>
                        <w:jc w:val="center"/>
                        <w:rPr>
                          <w:b/>
                        </w:rPr>
                      </w:pPr>
                      <w:r>
                        <w:rPr>
                          <w:b/>
                        </w:rPr>
                        <w:t>SD Impacts</w:t>
                      </w:r>
                    </w:p>
                  </w:txbxContent>
                </v:textbox>
              </v:shape>
            </w:pict>
          </mc:Fallback>
        </mc:AlternateContent>
      </w:r>
    </w:p>
    <w:p w:rsidR="00850B34" w:rsidRDefault="00B275C6" w:rsidP="00850B34">
      <w:r>
        <w:rPr>
          <w:noProof/>
          <w:lang w:eastAsia="en-GB"/>
        </w:rPr>
        <mc:AlternateContent>
          <mc:Choice Requires="wps">
            <w:drawing>
              <wp:anchor distT="0" distB="0" distL="114300" distR="114300" simplePos="0" relativeHeight="251687936" behindDoc="0" locked="0" layoutInCell="1" allowOverlap="1" wp14:anchorId="14D515F3" wp14:editId="4DB7D947">
                <wp:simplePos x="0" y="0"/>
                <wp:positionH relativeFrom="column">
                  <wp:posOffset>1889760</wp:posOffset>
                </wp:positionH>
                <wp:positionV relativeFrom="paragraph">
                  <wp:posOffset>381000</wp:posOffset>
                </wp:positionV>
                <wp:extent cx="1316355" cy="1134745"/>
                <wp:effectExtent l="0"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355" cy="1134745"/>
                        </a:xfrm>
                        <a:prstGeom prst="rect">
                          <a:avLst/>
                        </a:prstGeom>
                        <a:noFill/>
                        <a:ln w="9525">
                          <a:noFill/>
                          <a:miter lim="800000"/>
                          <a:headEnd/>
                          <a:tailEnd/>
                        </a:ln>
                      </wps:spPr>
                      <wps:txbx>
                        <w:txbxContent>
                          <w:p w:rsidR="00100058" w:rsidRDefault="00100058" w:rsidP="00850B34">
                            <w:pPr>
                              <w:jc w:val="center"/>
                            </w:pPr>
                            <w:r>
                              <w:t>reduced fossil fuel consumption and reduced GHG emissions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D515F3" id="Text Box 10" o:spid="_x0000_s1032" type="#_x0000_t202" style="position:absolute;margin-left:148.8pt;margin-top:30pt;width:103.65pt;height:89.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" filled="f" stroked="f">
                <v:textbox>
                  <w:txbxContent>
                    <w:p w:rsidR="00100058" w:rsidRDefault="00100058" w:rsidP="00850B34">
                      <w:pPr>
                        <w:jc w:val="center"/>
                      </w:pPr>
                      <w:r>
                        <w:t>reduced fossil fuel consumption and reduced GHG emissions</w:t>
                      </w:r>
                    </w:p>
                  </w:txbxContent>
                </v:textbox>
              </v:shape>
            </w:pict>
          </mc:Fallback>
        </mc:AlternateContent>
      </w:r>
      <w:r>
        <w:rPr>
          <w:noProof/>
          <w:lang w:eastAsia="en-GB"/>
        </w:rPr>
        <mc:AlternateContent>
          <mc:Choice Requires="wps">
            <w:drawing>
              <wp:anchor distT="0" distB="0" distL="114300" distR="114300" simplePos="0" relativeHeight="251686912" behindDoc="0" locked="0" layoutInCell="1" allowOverlap="1" wp14:anchorId="21175602" wp14:editId="174B3CB5">
                <wp:simplePos x="0" y="0"/>
                <wp:positionH relativeFrom="column">
                  <wp:posOffset>1380490</wp:posOffset>
                </wp:positionH>
                <wp:positionV relativeFrom="paragraph">
                  <wp:posOffset>668020</wp:posOffset>
                </wp:positionV>
                <wp:extent cx="428625" cy="266700"/>
                <wp:effectExtent l="0" t="19050" r="47625" b="38100"/>
                <wp:wrapNone/>
                <wp:docPr id="8" name="Right Arrow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8625" cy="26670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2E144E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8" o:spid="_x0000_s1026" type="#_x0000_t13" style="position:absolute;margin-left:108.7pt;margin-top:52.6pt;width:33.75pt;height:2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" adj="14880" fillcolor="#4f81bd" strokecolor="#385d8a" strokeweight="2pt">
                <v:path arrowok="t"/>
              </v:shape>
            </w:pict>
          </mc:Fallback>
        </mc:AlternateContent>
      </w:r>
      <w:r w:rsidR="00850B34">
        <w:rPr>
          <w:noProof/>
          <w:lang w:eastAsia="en-GB"/>
        </w:rPr>
        <mc:AlternateContent>
          <mc:Choice Requires="wps">
            <w:drawing>
              <wp:anchor distT="0" distB="0" distL="114300" distR="114300" simplePos="0" relativeHeight="251694080" behindDoc="0" locked="0" layoutInCell="1" allowOverlap="1" wp14:anchorId="3C64A526" wp14:editId="7C2081E3">
                <wp:simplePos x="0" y="0"/>
                <wp:positionH relativeFrom="column">
                  <wp:posOffset>4043680</wp:posOffset>
                </wp:positionH>
                <wp:positionV relativeFrom="paragraph">
                  <wp:posOffset>1168400</wp:posOffset>
                </wp:positionV>
                <wp:extent cx="1638300" cy="466725"/>
                <wp:effectExtent l="0" t="0" r="0" b="9525"/>
                <wp:wrapNone/>
                <wp:docPr id="334"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466725"/>
                        </a:xfrm>
                        <a:prstGeom prst="rect">
                          <a:avLst/>
                        </a:prstGeom>
                        <a:solidFill>
                          <a:srgbClr val="FFFFFF"/>
                        </a:solidFill>
                        <a:ln w="9525">
                          <a:noFill/>
                          <a:miter lim="800000"/>
                          <a:headEnd/>
                          <a:tailEnd/>
                        </a:ln>
                      </wps:spPr>
                      <wps:txbx>
                        <w:txbxContent>
                          <w:p w:rsidR="00100058" w:rsidRDefault="00100058" w:rsidP="00850B34">
                            <w:r>
                              <w:rPr>
                                <w:b/>
                              </w:rPr>
                              <w:t>environment:</w:t>
                            </w:r>
                            <w:r>
                              <w:t xml:space="preserve"> better air quality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64A526" id="Text Box 334" o:spid="_x0000_s1033" type="#_x0000_t202" style="position:absolute;margin-left:318.4pt;margin-top:92pt;width:129pt;height:36.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" stroked="f">
                <v:textbox>
                  <w:txbxContent>
                    <w:p w:rsidR="00100058" w:rsidRDefault="00100058" w:rsidP="00850B34">
                      <w:r>
                        <w:rPr>
                          <w:b/>
                        </w:rPr>
                        <w:t>environment:</w:t>
                      </w:r>
                      <w:r>
                        <w:t xml:space="preserve"> better air quality </w:t>
                      </w:r>
                    </w:p>
                  </w:txbxContent>
                </v:textbox>
              </v:shape>
            </w:pict>
          </mc:Fallback>
        </mc:AlternateContent>
      </w:r>
      <w:r w:rsidR="00850B34">
        <w:rPr>
          <w:noProof/>
          <w:lang w:eastAsia="en-GB"/>
        </w:rPr>
        <mc:AlternateContent>
          <mc:Choice Requires="wps">
            <w:drawing>
              <wp:anchor distT="0" distB="0" distL="114300" distR="114300" simplePos="0" relativeHeight="251692032" behindDoc="0" locked="0" layoutInCell="1" allowOverlap="1" wp14:anchorId="0623CE90" wp14:editId="26B82FC6">
                <wp:simplePos x="0" y="0"/>
                <wp:positionH relativeFrom="column">
                  <wp:posOffset>3223260</wp:posOffset>
                </wp:positionH>
                <wp:positionV relativeFrom="paragraph">
                  <wp:posOffset>1121410</wp:posOffset>
                </wp:positionV>
                <wp:extent cx="732790" cy="224790"/>
                <wp:effectExtent l="19050" t="95250" r="10160" b="118110"/>
                <wp:wrapNone/>
                <wp:docPr id="332" name="Right Arrow 3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193038">
                          <a:off x="0" y="0"/>
                          <a:ext cx="732790" cy="22479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8E220" id="Right Arrow 332" o:spid="_x0000_s1026" type="#_x0000_t13" style="position:absolute;margin-left:253.8pt;margin-top:88.3pt;width:57.7pt;height:17.7pt;rotation:1303116fd;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" adj="18287" fillcolor="#4f81bd" strokecolor="#385d8a" strokeweight="2pt">
                <v:path arrowok="t"/>
              </v:shape>
            </w:pict>
          </mc:Fallback>
        </mc:AlternateContent>
      </w:r>
      <w:r w:rsidR="00850B34">
        <w:rPr>
          <w:noProof/>
          <w:lang w:eastAsia="en-GB"/>
        </w:rPr>
        <mc:AlternateContent>
          <mc:Choice Requires="wps">
            <w:drawing>
              <wp:anchor distT="0" distB="0" distL="114300" distR="114300" simplePos="0" relativeHeight="251693056" behindDoc="0" locked="0" layoutInCell="1" allowOverlap="1" wp14:anchorId="030D8105" wp14:editId="381B583C">
                <wp:simplePos x="0" y="0"/>
                <wp:positionH relativeFrom="column">
                  <wp:posOffset>4043680</wp:posOffset>
                </wp:positionH>
                <wp:positionV relativeFrom="paragraph">
                  <wp:posOffset>635000</wp:posOffset>
                </wp:positionV>
                <wp:extent cx="1638300" cy="466725"/>
                <wp:effectExtent l="0" t="0" r="0" b="9525"/>
                <wp:wrapNone/>
                <wp:docPr id="333"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466725"/>
                        </a:xfrm>
                        <a:prstGeom prst="rect">
                          <a:avLst/>
                        </a:prstGeom>
                        <a:solidFill>
                          <a:srgbClr val="FFFFFF"/>
                        </a:solidFill>
                        <a:ln w="9525">
                          <a:noFill/>
                          <a:miter lim="800000"/>
                          <a:headEnd/>
                          <a:tailEnd/>
                        </a:ln>
                      </wps:spPr>
                      <wps:txbx>
                        <w:txbxContent>
                          <w:p w:rsidR="00100058" w:rsidRDefault="00100058" w:rsidP="00850B34">
                            <w:r>
                              <w:rPr>
                                <w:b/>
                              </w:rPr>
                              <w:t>social:</w:t>
                            </w:r>
                            <w:r>
                              <w:t xml:space="preserve"> improved health and less accidents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0D8105" id="Text Box 333" o:spid="_x0000_s1034" type="#_x0000_t202" style="position:absolute;margin-left:318.4pt;margin-top:50pt;width:129pt;height:36.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" stroked="f">
                <v:textbox>
                  <w:txbxContent>
                    <w:p w:rsidR="00100058" w:rsidRDefault="00100058" w:rsidP="00850B34">
                      <w:r>
                        <w:rPr>
                          <w:b/>
                        </w:rPr>
                        <w:t>social:</w:t>
                      </w:r>
                      <w:r>
                        <w:t xml:space="preserve"> improved health and less accidents</w:t>
                      </w:r>
                    </w:p>
                  </w:txbxContent>
                </v:textbox>
              </v:shape>
            </w:pict>
          </mc:Fallback>
        </mc:AlternateContent>
      </w:r>
      <w:r w:rsidR="00850B34">
        <w:rPr>
          <w:noProof/>
          <w:lang w:eastAsia="en-GB"/>
        </w:rPr>
        <mc:AlternateContent>
          <mc:Choice Requires="wps">
            <w:drawing>
              <wp:anchor distT="0" distB="0" distL="114300" distR="114300" simplePos="0" relativeHeight="251691008" behindDoc="0" locked="0" layoutInCell="1" allowOverlap="1" wp14:anchorId="0C14D137" wp14:editId="15AAE62D">
                <wp:simplePos x="0" y="0"/>
                <wp:positionH relativeFrom="column">
                  <wp:posOffset>3272155</wp:posOffset>
                </wp:positionH>
                <wp:positionV relativeFrom="paragraph">
                  <wp:posOffset>683895</wp:posOffset>
                </wp:positionV>
                <wp:extent cx="732790" cy="247650"/>
                <wp:effectExtent l="0" t="19050" r="29210" b="38100"/>
                <wp:wrapNone/>
                <wp:docPr id="331" name="Right Arrow 3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2790" cy="2476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46490C" id="Right Arrow 331" o:spid="_x0000_s1026" type="#_x0000_t13" style="position:absolute;margin-left:257.65pt;margin-top:53.85pt;width:57.7pt;height:1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" adj="17950" fillcolor="#4f81bd" strokecolor="#385d8a" strokeweight="2pt">
                <v:path arrowok="t"/>
              </v:shape>
            </w:pict>
          </mc:Fallback>
        </mc:AlternateContent>
      </w:r>
      <w:r w:rsidR="00850B34">
        <w:rPr>
          <w:noProof/>
          <w:lang w:eastAsia="en-GB"/>
        </w:rPr>
        <mc:AlternateContent>
          <mc:Choice Requires="wps">
            <w:drawing>
              <wp:anchor distT="0" distB="0" distL="114300" distR="114300" simplePos="0" relativeHeight="251688960" behindDoc="0" locked="0" layoutInCell="1" allowOverlap="1" wp14:anchorId="584D12DB" wp14:editId="1FD9327A">
                <wp:simplePos x="0" y="0"/>
                <wp:positionH relativeFrom="column">
                  <wp:posOffset>3227070</wp:posOffset>
                </wp:positionH>
                <wp:positionV relativeFrom="paragraph">
                  <wp:posOffset>340360</wp:posOffset>
                </wp:positionV>
                <wp:extent cx="732790" cy="224790"/>
                <wp:effectExtent l="19050" t="114300" r="0" b="99060"/>
                <wp:wrapNone/>
                <wp:docPr id="329" name="Right Arrow 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0387067">
                          <a:off x="0" y="0"/>
                          <a:ext cx="732790" cy="22479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A3FD8" id="Right Arrow 329" o:spid="_x0000_s1026" type="#_x0000_t13" style="position:absolute;margin-left:254.1pt;margin-top:26.8pt;width:57.7pt;height:17.7pt;rotation:-1324846fd;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" adj="18287" fillcolor="#4f81bd" strokecolor="#385d8a" strokeweight="2pt">
                <v:path arrowok="t"/>
              </v:shape>
            </w:pict>
          </mc:Fallback>
        </mc:AlternateContent>
      </w:r>
      <w:r w:rsidR="00850B34">
        <w:rPr>
          <w:noProof/>
          <w:lang w:eastAsia="en-GB"/>
        </w:rPr>
        <mc:AlternateContent>
          <mc:Choice Requires="wps">
            <w:drawing>
              <wp:anchor distT="0" distB="0" distL="114300" distR="114300" simplePos="0" relativeHeight="251689984" behindDoc="0" locked="0" layoutInCell="1" allowOverlap="1" wp14:anchorId="6A7240C5" wp14:editId="3C2BA639">
                <wp:simplePos x="0" y="0"/>
                <wp:positionH relativeFrom="column">
                  <wp:posOffset>4043680</wp:posOffset>
                </wp:positionH>
                <wp:positionV relativeFrom="paragraph">
                  <wp:posOffset>92075</wp:posOffset>
                </wp:positionV>
                <wp:extent cx="1638300" cy="466725"/>
                <wp:effectExtent l="0" t="0" r="0" b="0"/>
                <wp:wrapNone/>
                <wp:docPr id="330"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466725"/>
                        </a:xfrm>
                        <a:prstGeom prst="rect">
                          <a:avLst/>
                        </a:prstGeom>
                        <a:noFill/>
                        <a:ln w="9525">
                          <a:noFill/>
                          <a:miter lim="800000"/>
                          <a:headEnd/>
                          <a:tailEnd/>
                        </a:ln>
                      </wps:spPr>
                      <wps:txbx>
                        <w:txbxContent>
                          <w:p w:rsidR="00100058" w:rsidRDefault="00100058" w:rsidP="00850B34">
                            <w:r>
                              <w:rPr>
                                <w:b/>
                              </w:rPr>
                              <w:t>economic:</w:t>
                            </w:r>
                            <w:r>
                              <w:t xml:space="preserve"> lower fuel imports &amp; dependency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7240C5" id="Text Box 330" o:spid="_x0000_s1035" type="#_x0000_t202" style="position:absolute;margin-left:318.4pt;margin-top:7.25pt;width:129pt;height:36.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" filled="f" stroked="f">
                <v:textbox>
                  <w:txbxContent>
                    <w:p w:rsidR="00100058" w:rsidRDefault="00100058" w:rsidP="00850B34">
                      <w:r>
                        <w:rPr>
                          <w:b/>
                        </w:rPr>
                        <w:t>economic:</w:t>
                      </w:r>
                      <w:r>
                        <w:t xml:space="preserve"> lower fuel imports &amp; dependency</w:t>
                      </w:r>
                    </w:p>
                  </w:txbxContent>
                </v:textbox>
              </v:shape>
            </w:pict>
          </mc:Fallback>
        </mc:AlternateContent>
      </w:r>
      <w:r w:rsidRPr="00B275C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275C6">
        <w:rPr>
          <w:noProof/>
          <w:lang w:eastAsia="en-GB"/>
        </w:rPr>
        <w:drawing>
          <wp:inline distT="0" distB="0" distL="0" distR="0" wp14:anchorId="7194BEAF" wp14:editId="72642194">
            <wp:extent cx="1813798" cy="1209199"/>
            <wp:effectExtent l="0" t="2540" r="0" b="0"/>
            <wp:docPr id="15" name="Picture 15" descr="C:\Users\jurg grutter\Pictures\Pictures office\Rail Bangladesh\IMG_7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rg grutter\Pictures\Pictures office\Rail Bangladesh\IMG_7268.JPG"/>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rot="5400000">
                      <a:off x="0" y="0"/>
                      <a:ext cx="1822864" cy="1215243"/>
                    </a:xfrm>
                    <a:prstGeom prst="rect">
                      <a:avLst/>
                    </a:prstGeom>
                    <a:noFill/>
                    <a:ln>
                      <a:noFill/>
                    </a:ln>
                  </pic:spPr>
                </pic:pic>
              </a:graphicData>
            </a:graphic>
          </wp:inline>
        </w:drawing>
      </w:r>
    </w:p>
    <w:p w:rsidR="00850B34" w:rsidRDefault="00850B34" w:rsidP="00850B34"/>
    <w:p w:rsidR="00850B34" w:rsidRDefault="00850B34" w:rsidP="00850B34">
      <w:pPr>
        <w:jc w:val="both"/>
      </w:pPr>
      <w:r>
        <w:lastRenderedPageBreak/>
        <w:t>The following table shows the indicators for measuring the SD impact.</w:t>
      </w:r>
    </w:p>
    <w:p w:rsidR="00850B34" w:rsidRPr="00AC6EDE" w:rsidRDefault="00AC6EDE" w:rsidP="00AC6EDE">
      <w:pPr>
        <w:pStyle w:val="NoSpacing"/>
        <w:rPr>
          <w:b/>
          <w:sz w:val="20"/>
          <w:szCs w:val="20"/>
        </w:rPr>
      </w:pPr>
      <w:r w:rsidRPr="00AC6EDE">
        <w:rPr>
          <w:b/>
          <w:sz w:val="20"/>
          <w:szCs w:val="20"/>
        </w:rPr>
        <w:t xml:space="preserve">Table </w:t>
      </w:r>
      <w:r w:rsidRPr="00AC6EDE">
        <w:rPr>
          <w:b/>
          <w:sz w:val="20"/>
          <w:szCs w:val="20"/>
        </w:rPr>
        <w:fldChar w:fldCharType="begin"/>
      </w:r>
      <w:r w:rsidRPr="00AC6EDE">
        <w:rPr>
          <w:b/>
          <w:sz w:val="20"/>
          <w:szCs w:val="20"/>
        </w:rPr>
        <w:instrText xml:space="preserve"> SEQ Table \* ARABIC </w:instrText>
      </w:r>
      <w:r w:rsidRPr="00AC6EDE">
        <w:rPr>
          <w:b/>
          <w:sz w:val="20"/>
          <w:szCs w:val="20"/>
        </w:rPr>
        <w:fldChar w:fldCharType="separate"/>
      </w:r>
      <w:r w:rsidRPr="00AC6EDE">
        <w:rPr>
          <w:b/>
          <w:noProof/>
          <w:sz w:val="20"/>
          <w:szCs w:val="20"/>
        </w:rPr>
        <w:t>8</w:t>
      </w:r>
      <w:r w:rsidRPr="00AC6EDE">
        <w:rPr>
          <w:b/>
          <w:sz w:val="20"/>
          <w:szCs w:val="20"/>
        </w:rPr>
        <w:fldChar w:fldCharType="end"/>
      </w:r>
      <w:r w:rsidR="00D9541B" w:rsidRPr="00AC6EDE">
        <w:rPr>
          <w:b/>
          <w:sz w:val="20"/>
          <w:szCs w:val="20"/>
        </w:rPr>
        <w:t>: SD Indicators</w:t>
      </w:r>
    </w:p>
    <w:tbl>
      <w:tblPr>
        <w:tblW w:w="0" w:type="auto"/>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firstRow="1" w:lastRow="0" w:firstColumn="1" w:lastColumn="0" w:noHBand="0" w:noVBand="1"/>
      </w:tblPr>
      <w:tblGrid>
        <w:gridCol w:w="2338"/>
        <w:gridCol w:w="3172"/>
        <w:gridCol w:w="3486"/>
      </w:tblGrid>
      <w:tr w:rsidR="00850B34" w:rsidRPr="004B02E5" w:rsidTr="00D57584">
        <w:tc>
          <w:tcPr>
            <w:tcW w:w="2376" w:type="dxa"/>
            <w:tcBorders>
              <w:top w:val="single" w:sz="12" w:space="0" w:color="000000"/>
              <w:left w:val="single" w:sz="12" w:space="0" w:color="000000"/>
              <w:bottom w:val="single" w:sz="6" w:space="0" w:color="000000"/>
              <w:right w:val="single" w:sz="6" w:space="0" w:color="000000"/>
            </w:tcBorders>
            <w:shd w:val="clear" w:color="auto" w:fill="C6D9F1"/>
            <w:hideMark/>
          </w:tcPr>
          <w:p w:rsidR="00850B34" w:rsidRPr="004B02E5" w:rsidRDefault="00850B34" w:rsidP="00D57584">
            <w:pPr>
              <w:pStyle w:val="NoSpacing"/>
              <w:rPr>
                <w:b/>
                <w:sz w:val="20"/>
              </w:rPr>
            </w:pPr>
            <w:r w:rsidRPr="004B02E5">
              <w:rPr>
                <w:b/>
                <w:sz w:val="20"/>
              </w:rPr>
              <w:t>Impact</w:t>
            </w:r>
          </w:p>
        </w:tc>
        <w:tc>
          <w:tcPr>
            <w:tcW w:w="3261" w:type="dxa"/>
            <w:tcBorders>
              <w:top w:val="single" w:sz="12" w:space="0" w:color="000000"/>
              <w:left w:val="single" w:sz="6" w:space="0" w:color="000000"/>
              <w:bottom w:val="single" w:sz="6" w:space="0" w:color="000000"/>
              <w:right w:val="single" w:sz="6" w:space="0" w:color="000000"/>
            </w:tcBorders>
            <w:shd w:val="clear" w:color="auto" w:fill="C6D9F1"/>
            <w:hideMark/>
          </w:tcPr>
          <w:p w:rsidR="00850B34" w:rsidRPr="004B02E5" w:rsidRDefault="00850B34" w:rsidP="00D57584">
            <w:pPr>
              <w:pStyle w:val="NoSpacing"/>
              <w:rPr>
                <w:b/>
                <w:sz w:val="20"/>
              </w:rPr>
            </w:pPr>
            <w:r w:rsidRPr="004B02E5">
              <w:rPr>
                <w:b/>
                <w:sz w:val="20"/>
              </w:rPr>
              <w:t>Indicator</w:t>
            </w:r>
          </w:p>
        </w:tc>
        <w:tc>
          <w:tcPr>
            <w:tcW w:w="3575" w:type="dxa"/>
            <w:tcBorders>
              <w:top w:val="single" w:sz="12" w:space="0" w:color="000000"/>
              <w:left w:val="single" w:sz="6" w:space="0" w:color="000000"/>
              <w:bottom w:val="single" w:sz="6" w:space="0" w:color="000000"/>
              <w:right w:val="single" w:sz="12" w:space="0" w:color="000000"/>
            </w:tcBorders>
            <w:shd w:val="clear" w:color="auto" w:fill="C6D9F1"/>
            <w:hideMark/>
          </w:tcPr>
          <w:p w:rsidR="00850B34" w:rsidRPr="004B02E5" w:rsidRDefault="00850B34" w:rsidP="00D57584">
            <w:pPr>
              <w:pStyle w:val="NoSpacing"/>
              <w:rPr>
                <w:b/>
                <w:sz w:val="20"/>
              </w:rPr>
            </w:pPr>
            <w:r w:rsidRPr="004B02E5">
              <w:rPr>
                <w:b/>
                <w:sz w:val="20"/>
              </w:rPr>
              <w:t>Comment</w:t>
            </w:r>
          </w:p>
        </w:tc>
      </w:tr>
      <w:tr w:rsidR="00850B34" w:rsidRPr="004B02E5" w:rsidTr="00D57584">
        <w:tc>
          <w:tcPr>
            <w:tcW w:w="2376" w:type="dxa"/>
            <w:tcBorders>
              <w:top w:val="single" w:sz="6" w:space="0" w:color="000000"/>
              <w:left w:val="single" w:sz="12" w:space="0" w:color="000000"/>
              <w:bottom w:val="single" w:sz="6" w:space="0" w:color="000000"/>
              <w:right w:val="single" w:sz="6" w:space="0" w:color="000000"/>
            </w:tcBorders>
            <w:shd w:val="clear" w:color="auto" w:fill="auto"/>
            <w:hideMark/>
          </w:tcPr>
          <w:p w:rsidR="00850B34" w:rsidRPr="004B02E5" w:rsidRDefault="00850B34" w:rsidP="00C57D42">
            <w:pPr>
              <w:spacing w:after="0" w:line="240" w:lineRule="auto"/>
              <w:rPr>
                <w:sz w:val="20"/>
              </w:rPr>
            </w:pPr>
            <w:r w:rsidRPr="004B02E5">
              <w:rPr>
                <w:sz w:val="20"/>
              </w:rPr>
              <w:t>Economic impact: fuel savings</w:t>
            </w:r>
          </w:p>
        </w:tc>
        <w:tc>
          <w:tcPr>
            <w:tcW w:w="3261" w:type="dxa"/>
            <w:tcBorders>
              <w:top w:val="single" w:sz="6" w:space="0" w:color="000000"/>
              <w:left w:val="single" w:sz="6" w:space="0" w:color="000000"/>
              <w:bottom w:val="single" w:sz="6" w:space="0" w:color="000000"/>
              <w:right w:val="single" w:sz="6" w:space="0" w:color="000000"/>
            </w:tcBorders>
            <w:shd w:val="clear" w:color="auto" w:fill="auto"/>
            <w:hideMark/>
          </w:tcPr>
          <w:p w:rsidR="00850B34" w:rsidRPr="004B02E5" w:rsidRDefault="00850B34" w:rsidP="00D57584">
            <w:pPr>
              <w:spacing w:after="0" w:line="240" w:lineRule="auto"/>
              <w:jc w:val="both"/>
              <w:rPr>
                <w:sz w:val="20"/>
              </w:rPr>
            </w:pPr>
            <w:r w:rsidRPr="004B02E5">
              <w:rPr>
                <w:sz w:val="20"/>
              </w:rPr>
              <w:t>- Tons of fossil fuel saved</w:t>
            </w:r>
          </w:p>
          <w:p w:rsidR="00850B34" w:rsidRPr="004B02E5" w:rsidRDefault="00850B34" w:rsidP="00D57584">
            <w:pPr>
              <w:spacing w:after="0" w:line="240" w:lineRule="auto"/>
              <w:jc w:val="both"/>
              <w:rPr>
                <w:sz w:val="20"/>
              </w:rPr>
            </w:pPr>
            <w:r w:rsidRPr="004B02E5">
              <w:rPr>
                <w:sz w:val="20"/>
              </w:rPr>
              <w:t xml:space="preserve">- Monetary value of fuel savings </w:t>
            </w:r>
          </w:p>
        </w:tc>
        <w:tc>
          <w:tcPr>
            <w:tcW w:w="3575" w:type="dxa"/>
            <w:tcBorders>
              <w:top w:val="single" w:sz="6" w:space="0" w:color="000000"/>
              <w:left w:val="single" w:sz="6" w:space="0" w:color="000000"/>
              <w:bottom w:val="single" w:sz="6" w:space="0" w:color="000000"/>
              <w:right w:val="single" w:sz="12" w:space="0" w:color="000000"/>
            </w:tcBorders>
            <w:shd w:val="clear" w:color="auto" w:fill="auto"/>
            <w:hideMark/>
          </w:tcPr>
          <w:p w:rsidR="00850B34" w:rsidRPr="004B02E5" w:rsidRDefault="00850B34" w:rsidP="00932907">
            <w:pPr>
              <w:spacing w:after="0" w:line="240" w:lineRule="auto"/>
              <w:rPr>
                <w:sz w:val="20"/>
              </w:rPr>
            </w:pPr>
            <w:r w:rsidRPr="004B02E5">
              <w:rPr>
                <w:sz w:val="20"/>
              </w:rPr>
              <w:t xml:space="preserve">Monetary value based on </w:t>
            </w:r>
            <w:r w:rsidR="00B275C6">
              <w:rPr>
                <w:sz w:val="20"/>
              </w:rPr>
              <w:t xml:space="preserve">Bangladesh </w:t>
            </w:r>
            <w:r w:rsidR="00932907">
              <w:rPr>
                <w:sz w:val="20"/>
              </w:rPr>
              <w:t>diesel</w:t>
            </w:r>
            <w:r w:rsidRPr="004B02E5">
              <w:rPr>
                <w:sz w:val="20"/>
              </w:rPr>
              <w:t xml:space="preserve"> market price</w:t>
            </w:r>
            <w:r w:rsidRPr="004B02E5">
              <w:rPr>
                <w:rStyle w:val="FootnoteReference"/>
                <w:sz w:val="20"/>
              </w:rPr>
              <w:footnoteReference w:id="58"/>
            </w:r>
          </w:p>
        </w:tc>
      </w:tr>
      <w:tr w:rsidR="00850B34" w:rsidRPr="004B02E5" w:rsidTr="00D57584">
        <w:tc>
          <w:tcPr>
            <w:tcW w:w="2376" w:type="dxa"/>
            <w:tcBorders>
              <w:top w:val="single" w:sz="6" w:space="0" w:color="000000"/>
              <w:left w:val="single" w:sz="12" w:space="0" w:color="000000"/>
              <w:bottom w:val="single" w:sz="6" w:space="0" w:color="000000"/>
              <w:right w:val="single" w:sz="6" w:space="0" w:color="000000"/>
            </w:tcBorders>
            <w:shd w:val="clear" w:color="auto" w:fill="auto"/>
            <w:hideMark/>
          </w:tcPr>
          <w:p w:rsidR="00850B34" w:rsidRPr="004B02E5" w:rsidRDefault="00850B34" w:rsidP="00D57584">
            <w:pPr>
              <w:spacing w:after="0" w:line="240" w:lineRule="auto"/>
              <w:rPr>
                <w:sz w:val="20"/>
              </w:rPr>
            </w:pPr>
            <w:r w:rsidRPr="004B02E5">
              <w:rPr>
                <w:sz w:val="20"/>
              </w:rPr>
              <w:t>Environmental impact: air quality</w:t>
            </w:r>
          </w:p>
        </w:tc>
        <w:tc>
          <w:tcPr>
            <w:tcW w:w="3261" w:type="dxa"/>
            <w:tcBorders>
              <w:top w:val="single" w:sz="6" w:space="0" w:color="000000"/>
              <w:left w:val="single" w:sz="6" w:space="0" w:color="000000"/>
              <w:bottom w:val="single" w:sz="6" w:space="0" w:color="000000"/>
              <w:right w:val="single" w:sz="6" w:space="0" w:color="000000"/>
            </w:tcBorders>
            <w:shd w:val="clear" w:color="auto" w:fill="auto"/>
            <w:hideMark/>
          </w:tcPr>
          <w:p w:rsidR="00850B34" w:rsidRPr="004B02E5" w:rsidRDefault="00850B34" w:rsidP="00D57584">
            <w:pPr>
              <w:spacing w:after="0" w:line="240" w:lineRule="auto"/>
              <w:rPr>
                <w:sz w:val="20"/>
              </w:rPr>
            </w:pPr>
            <w:r w:rsidRPr="004B02E5">
              <w:rPr>
                <w:sz w:val="20"/>
              </w:rPr>
              <w:t>- Reduced particle matter emissions</w:t>
            </w:r>
          </w:p>
          <w:p w:rsidR="00850B34" w:rsidRPr="004B02E5" w:rsidRDefault="00850B34" w:rsidP="00D57584">
            <w:pPr>
              <w:spacing w:after="0" w:line="240" w:lineRule="auto"/>
              <w:jc w:val="both"/>
              <w:rPr>
                <w:sz w:val="20"/>
              </w:rPr>
            </w:pPr>
            <w:r w:rsidRPr="004B02E5">
              <w:rPr>
                <w:sz w:val="20"/>
              </w:rPr>
              <w:t>- Reduced NO</w:t>
            </w:r>
            <w:r w:rsidRPr="004B02E5">
              <w:rPr>
                <w:sz w:val="20"/>
                <w:vertAlign w:val="subscript"/>
              </w:rPr>
              <w:t>x</w:t>
            </w:r>
            <w:r w:rsidRPr="004B02E5">
              <w:rPr>
                <w:sz w:val="20"/>
              </w:rPr>
              <w:t xml:space="preserve"> emissions</w:t>
            </w:r>
          </w:p>
        </w:tc>
        <w:tc>
          <w:tcPr>
            <w:tcW w:w="3575" w:type="dxa"/>
            <w:tcBorders>
              <w:top w:val="single" w:sz="6" w:space="0" w:color="000000"/>
              <w:left w:val="single" w:sz="6" w:space="0" w:color="000000"/>
              <w:bottom w:val="single" w:sz="6" w:space="0" w:color="000000"/>
              <w:right w:val="single" w:sz="12" w:space="0" w:color="000000"/>
            </w:tcBorders>
            <w:shd w:val="clear" w:color="auto" w:fill="auto"/>
            <w:hideMark/>
          </w:tcPr>
          <w:p w:rsidR="00850B34" w:rsidRPr="004B02E5" w:rsidRDefault="00850B34" w:rsidP="00D57584">
            <w:pPr>
              <w:spacing w:after="0" w:line="240" w:lineRule="auto"/>
              <w:rPr>
                <w:sz w:val="20"/>
              </w:rPr>
            </w:pPr>
            <w:r w:rsidRPr="004B02E5">
              <w:rPr>
                <w:sz w:val="20"/>
              </w:rPr>
              <w:t>Based on</w:t>
            </w:r>
            <w:r>
              <w:rPr>
                <w:sz w:val="20"/>
              </w:rPr>
              <w:t xml:space="preserve"> Tier 1 method and fuel savings</w:t>
            </w:r>
          </w:p>
        </w:tc>
      </w:tr>
      <w:tr w:rsidR="00850B34" w:rsidRPr="004B02E5" w:rsidTr="000A18BB">
        <w:trPr>
          <w:trHeight w:val="1274"/>
        </w:trPr>
        <w:tc>
          <w:tcPr>
            <w:tcW w:w="2376" w:type="dxa"/>
            <w:tcBorders>
              <w:top w:val="single" w:sz="6" w:space="0" w:color="000000"/>
              <w:left w:val="single" w:sz="12" w:space="0" w:color="000000"/>
              <w:bottom w:val="single" w:sz="12" w:space="0" w:color="000000"/>
              <w:right w:val="single" w:sz="6" w:space="0" w:color="000000"/>
            </w:tcBorders>
            <w:shd w:val="clear" w:color="auto" w:fill="auto"/>
          </w:tcPr>
          <w:p w:rsidR="00850B34" w:rsidRDefault="00850B34" w:rsidP="00D57584">
            <w:pPr>
              <w:spacing w:after="0" w:line="240" w:lineRule="auto"/>
              <w:rPr>
                <w:sz w:val="20"/>
              </w:rPr>
            </w:pPr>
            <w:r w:rsidRPr="004B02E5">
              <w:rPr>
                <w:sz w:val="20"/>
              </w:rPr>
              <w:t xml:space="preserve">Social impact: </w:t>
            </w:r>
          </w:p>
          <w:p w:rsidR="00850B34" w:rsidRDefault="00850B34" w:rsidP="00D57584">
            <w:pPr>
              <w:spacing w:after="0" w:line="240" w:lineRule="auto"/>
              <w:rPr>
                <w:sz w:val="20"/>
              </w:rPr>
            </w:pPr>
            <w:r>
              <w:rPr>
                <w:sz w:val="20"/>
              </w:rPr>
              <w:t>- S</w:t>
            </w:r>
            <w:r w:rsidRPr="004B02E5">
              <w:rPr>
                <w:sz w:val="20"/>
              </w:rPr>
              <w:t>avings based on NO</w:t>
            </w:r>
            <w:r w:rsidRPr="004B02E5">
              <w:rPr>
                <w:sz w:val="20"/>
                <w:vertAlign w:val="subscript"/>
              </w:rPr>
              <w:t>x</w:t>
            </w:r>
            <w:r w:rsidRPr="004B02E5">
              <w:rPr>
                <w:sz w:val="20"/>
              </w:rPr>
              <w:t xml:space="preserve"> and PM reductions</w:t>
            </w:r>
          </w:p>
          <w:p w:rsidR="00850B34" w:rsidRPr="004B02E5" w:rsidRDefault="00850B34" w:rsidP="00D57584">
            <w:pPr>
              <w:spacing w:after="0" w:line="240" w:lineRule="auto"/>
              <w:rPr>
                <w:sz w:val="20"/>
              </w:rPr>
            </w:pPr>
            <w:r>
              <w:rPr>
                <w:sz w:val="20"/>
              </w:rPr>
              <w:t xml:space="preserve">- </w:t>
            </w:r>
            <w:r w:rsidR="00B275C6">
              <w:rPr>
                <w:sz w:val="20"/>
              </w:rPr>
              <w:t>Reduced accidents</w:t>
            </w:r>
          </w:p>
        </w:tc>
        <w:tc>
          <w:tcPr>
            <w:tcW w:w="3261" w:type="dxa"/>
            <w:tcBorders>
              <w:top w:val="single" w:sz="6" w:space="0" w:color="000000"/>
              <w:left w:val="single" w:sz="6" w:space="0" w:color="000000"/>
              <w:bottom w:val="single" w:sz="12" w:space="0" w:color="000000"/>
              <w:right w:val="single" w:sz="6" w:space="0" w:color="000000"/>
            </w:tcBorders>
            <w:shd w:val="clear" w:color="auto" w:fill="auto"/>
          </w:tcPr>
          <w:p w:rsidR="00850B34" w:rsidRPr="004B02E5" w:rsidRDefault="00850B34" w:rsidP="00D57584">
            <w:pPr>
              <w:spacing w:after="0" w:line="240" w:lineRule="auto"/>
              <w:jc w:val="both"/>
              <w:rPr>
                <w:sz w:val="20"/>
              </w:rPr>
            </w:pPr>
            <w:r w:rsidRPr="004B02E5">
              <w:rPr>
                <w:sz w:val="20"/>
              </w:rPr>
              <w:t>- Monetary value of NO</w:t>
            </w:r>
            <w:r w:rsidRPr="004B02E5">
              <w:rPr>
                <w:sz w:val="20"/>
                <w:vertAlign w:val="subscript"/>
              </w:rPr>
              <w:t>x</w:t>
            </w:r>
            <w:r w:rsidRPr="004B02E5">
              <w:rPr>
                <w:sz w:val="20"/>
              </w:rPr>
              <w:t xml:space="preserve"> damages</w:t>
            </w:r>
          </w:p>
          <w:p w:rsidR="00850B34" w:rsidRDefault="00850B34" w:rsidP="00D57584">
            <w:pPr>
              <w:spacing w:after="0" w:line="240" w:lineRule="auto"/>
              <w:jc w:val="both"/>
              <w:rPr>
                <w:sz w:val="20"/>
              </w:rPr>
            </w:pPr>
            <w:r w:rsidRPr="004B02E5">
              <w:rPr>
                <w:sz w:val="20"/>
              </w:rPr>
              <w:t>- Monetary value of PM damages</w:t>
            </w:r>
          </w:p>
          <w:p w:rsidR="00850B34" w:rsidRDefault="00850B34" w:rsidP="00932907">
            <w:pPr>
              <w:spacing w:after="0" w:line="240" w:lineRule="auto"/>
              <w:rPr>
                <w:sz w:val="20"/>
              </w:rPr>
            </w:pPr>
            <w:r>
              <w:rPr>
                <w:sz w:val="20"/>
              </w:rPr>
              <w:t xml:space="preserve">- </w:t>
            </w:r>
            <w:r w:rsidR="00B275C6">
              <w:rPr>
                <w:sz w:val="20"/>
              </w:rPr>
              <w:t xml:space="preserve">Avoided </w:t>
            </w:r>
            <w:r w:rsidR="000A18BB">
              <w:rPr>
                <w:sz w:val="20"/>
              </w:rPr>
              <w:t>fatalities</w:t>
            </w:r>
            <w:r w:rsidR="00B275C6">
              <w:rPr>
                <w:sz w:val="20"/>
              </w:rPr>
              <w:t xml:space="preserve"> due to accidents</w:t>
            </w:r>
          </w:p>
          <w:p w:rsidR="00D9541B" w:rsidRPr="004B02E5" w:rsidRDefault="00932907" w:rsidP="00932907">
            <w:pPr>
              <w:spacing w:after="0" w:line="240" w:lineRule="auto"/>
              <w:rPr>
                <w:sz w:val="20"/>
              </w:rPr>
            </w:pPr>
            <w:r>
              <w:rPr>
                <w:sz w:val="20"/>
              </w:rPr>
              <w:t xml:space="preserve">- </w:t>
            </w:r>
            <w:r w:rsidR="00D9541B">
              <w:rPr>
                <w:sz w:val="20"/>
              </w:rPr>
              <w:t>Monetary value of avoided accidents</w:t>
            </w:r>
          </w:p>
        </w:tc>
        <w:tc>
          <w:tcPr>
            <w:tcW w:w="3575" w:type="dxa"/>
            <w:tcBorders>
              <w:top w:val="single" w:sz="6" w:space="0" w:color="000000"/>
              <w:left w:val="single" w:sz="6" w:space="0" w:color="000000"/>
              <w:bottom w:val="single" w:sz="12" w:space="0" w:color="000000"/>
              <w:right w:val="single" w:sz="12" w:space="0" w:color="000000"/>
            </w:tcBorders>
            <w:shd w:val="clear" w:color="auto" w:fill="auto"/>
          </w:tcPr>
          <w:p w:rsidR="00850B34" w:rsidRPr="004B02E5" w:rsidRDefault="000A18BB" w:rsidP="000A18BB">
            <w:pPr>
              <w:spacing w:after="0" w:line="240" w:lineRule="auto"/>
              <w:rPr>
                <w:sz w:val="20"/>
              </w:rPr>
            </w:pPr>
            <w:r w:rsidRPr="004B02E5">
              <w:rPr>
                <w:sz w:val="20"/>
              </w:rPr>
              <w:t xml:space="preserve">Damage from vehicle and other ground-level sources is extrapolated from a city-level database on pollution intake rates. This results in costs for damage of local air </w:t>
            </w:r>
            <w:r>
              <w:rPr>
                <w:sz w:val="20"/>
              </w:rPr>
              <w:t>pollution for Bangladesh</w:t>
            </w:r>
            <w:r w:rsidR="00850B34" w:rsidRPr="004B02E5">
              <w:rPr>
                <w:sz w:val="20"/>
                <w:vertAlign w:val="superscript"/>
              </w:rPr>
              <w:footnoteReference w:id="59"/>
            </w:r>
            <w:r w:rsidR="00850B34" w:rsidRPr="004B02E5">
              <w:rPr>
                <w:sz w:val="20"/>
              </w:rPr>
              <w:t xml:space="preserve">. </w:t>
            </w:r>
          </w:p>
        </w:tc>
      </w:tr>
    </w:tbl>
    <w:p w:rsidR="00850B34" w:rsidRDefault="00850B34" w:rsidP="00850B34">
      <w:pPr>
        <w:pStyle w:val="NoSpacing"/>
      </w:pPr>
    </w:p>
    <w:p w:rsidR="00C57D42" w:rsidRDefault="00187E68" w:rsidP="00187E68">
      <w:pPr>
        <w:pStyle w:val="Heading2"/>
        <w:ind w:firstLine="720"/>
      </w:pPr>
      <w:bookmarkStart w:id="27" w:name="_Toc466207353"/>
      <w:r>
        <w:t xml:space="preserve">7.2. </w:t>
      </w:r>
      <w:r w:rsidR="00C57D42">
        <w:t>Economic Impacts</w:t>
      </w:r>
      <w:bookmarkEnd w:id="27"/>
    </w:p>
    <w:p w:rsidR="00C57D42" w:rsidRDefault="00C57D42" w:rsidP="00C57D42"/>
    <w:p w:rsidR="00C57D42" w:rsidRDefault="00C57D42" w:rsidP="00C57D42">
      <w:pPr>
        <w:jc w:val="both"/>
        <w:rPr>
          <w:lang w:val="en"/>
        </w:rPr>
      </w:pPr>
      <w:r>
        <w:rPr>
          <w:lang w:val="en"/>
        </w:rPr>
        <w:t>Potential economic impacts of the NAMA include:</w:t>
      </w:r>
    </w:p>
    <w:p w:rsidR="00C57D42" w:rsidRDefault="00C57D42" w:rsidP="00C57D42">
      <w:pPr>
        <w:pStyle w:val="ListParagraph"/>
        <w:numPr>
          <w:ilvl w:val="0"/>
          <w:numId w:val="24"/>
        </w:numPr>
        <w:jc w:val="both"/>
        <w:rPr>
          <w:lang w:val="en"/>
        </w:rPr>
      </w:pPr>
      <w:r>
        <w:rPr>
          <w:lang w:val="en"/>
        </w:rPr>
        <w:t>Job creation impact;</w:t>
      </w:r>
    </w:p>
    <w:p w:rsidR="00C57D42" w:rsidRDefault="00C57D42" w:rsidP="00C57D42">
      <w:pPr>
        <w:pStyle w:val="ListParagraph"/>
        <w:numPr>
          <w:ilvl w:val="0"/>
          <w:numId w:val="24"/>
        </w:numPr>
        <w:jc w:val="both"/>
        <w:rPr>
          <w:lang w:val="en"/>
        </w:rPr>
      </w:pPr>
      <w:r>
        <w:rPr>
          <w:lang w:val="en"/>
        </w:rPr>
        <w:t>Improved energy security and reduced dependency on imports;</w:t>
      </w:r>
    </w:p>
    <w:p w:rsidR="00C57D42" w:rsidRDefault="00C57D42" w:rsidP="00C57D42">
      <w:pPr>
        <w:pStyle w:val="ListParagraph"/>
        <w:numPr>
          <w:ilvl w:val="0"/>
          <w:numId w:val="24"/>
        </w:numPr>
        <w:jc w:val="both"/>
        <w:rPr>
          <w:lang w:val="en"/>
        </w:rPr>
      </w:pPr>
      <w:r>
        <w:rPr>
          <w:lang w:val="en"/>
        </w:rPr>
        <w:t>Reduced congestion costs;</w:t>
      </w:r>
    </w:p>
    <w:p w:rsidR="00C57D42" w:rsidRDefault="00C57D42" w:rsidP="00C57D42">
      <w:pPr>
        <w:pStyle w:val="ListParagraph"/>
        <w:numPr>
          <w:ilvl w:val="0"/>
          <w:numId w:val="24"/>
        </w:numPr>
        <w:jc w:val="both"/>
        <w:rPr>
          <w:lang w:val="en"/>
        </w:rPr>
      </w:pPr>
      <w:r>
        <w:rPr>
          <w:lang w:val="en"/>
        </w:rPr>
        <w:t>Reduced health costs due to reduced air pollution (this is looked at under 7.4.);</w:t>
      </w:r>
    </w:p>
    <w:p w:rsidR="00C57D42" w:rsidRPr="002B6C6A" w:rsidRDefault="00C57D42" w:rsidP="00C57D42">
      <w:pPr>
        <w:pStyle w:val="ListParagraph"/>
        <w:numPr>
          <w:ilvl w:val="0"/>
          <w:numId w:val="24"/>
        </w:numPr>
        <w:jc w:val="both"/>
        <w:rPr>
          <w:lang w:val="en"/>
        </w:rPr>
      </w:pPr>
      <w:r>
        <w:rPr>
          <w:lang w:val="en"/>
        </w:rPr>
        <w:t>Reduced cost of loss of productivity due to accidents (this is looked at under 7.3.).</w:t>
      </w:r>
    </w:p>
    <w:p w:rsidR="001F0760" w:rsidRPr="001F0760" w:rsidRDefault="001F0760" w:rsidP="001F0760">
      <w:pPr>
        <w:jc w:val="both"/>
      </w:pPr>
      <w:r w:rsidRPr="001F0760">
        <w:t>The impact on the job market is not considered to be significant ass on the one hand additional jobs are created within the rail sector whilst less jobs are required for road transport.</w:t>
      </w:r>
    </w:p>
    <w:p w:rsidR="00C57D42" w:rsidRDefault="00C57D42" w:rsidP="00C57D42">
      <w:pPr>
        <w:jc w:val="both"/>
        <w:rPr>
          <w:lang w:val="en"/>
        </w:rPr>
      </w:pPr>
      <w:r>
        <w:rPr>
          <w:lang w:val="en"/>
        </w:rPr>
        <w:t>In urban transport projects savings due to reduced congestion tend to be the major economic impact. However</w:t>
      </w:r>
      <w:r w:rsidR="001F0760">
        <w:rPr>
          <w:lang w:val="en"/>
        </w:rPr>
        <w:t>,</w:t>
      </w:r>
      <w:r>
        <w:rPr>
          <w:lang w:val="en"/>
        </w:rPr>
        <w:t xml:space="preserve"> in inter-urban freight and passenger transport this is not expected to be a major impact not least due also to the projected baseline which relies on additional road construction.</w:t>
      </w:r>
    </w:p>
    <w:p w:rsidR="00C57D42" w:rsidRPr="00106F09" w:rsidRDefault="001F0760" w:rsidP="00106F09">
      <w:pPr>
        <w:jc w:val="both"/>
      </w:pPr>
      <w:r w:rsidRPr="001F0760">
        <w:rPr>
          <w:lang w:val="en"/>
        </w:rPr>
        <w:t>Bangladesh</w:t>
      </w:r>
      <w:r>
        <w:rPr>
          <w:b/>
          <w:lang w:val="en"/>
        </w:rPr>
        <w:t xml:space="preserve"> </w:t>
      </w:r>
      <w:r>
        <w:rPr>
          <w:lang w:val="en"/>
        </w:rPr>
        <w:t xml:space="preserve">needs to import diesel fuel causing a considerable strain on foreign exchange resources. </w:t>
      </w:r>
      <w:r w:rsidR="00C57D42">
        <w:t>The transport</w:t>
      </w:r>
      <w:r>
        <w:t>ation</w:t>
      </w:r>
      <w:r w:rsidR="00C57D42">
        <w:t xml:space="preserve"> sector </w:t>
      </w:r>
      <w:r>
        <w:t>accounts for 50% of the diesel usage in the country</w:t>
      </w:r>
      <w:r>
        <w:rPr>
          <w:rStyle w:val="FootnoteReference"/>
        </w:rPr>
        <w:footnoteReference w:id="60"/>
      </w:r>
      <w:r>
        <w:t>.</w:t>
      </w:r>
      <w:r w:rsidR="00106F09">
        <w:t xml:space="preserve"> Over the </w:t>
      </w:r>
      <w:r w:rsidR="00932907">
        <w:t xml:space="preserve">time </w:t>
      </w:r>
      <w:r w:rsidR="00106F09">
        <w:t>period</w:t>
      </w:r>
      <w:r w:rsidR="00932907">
        <w:t xml:space="preserve"> 2017-2030</w:t>
      </w:r>
      <w:r w:rsidR="00106F09">
        <w:t xml:space="preserve"> Banglades</w:t>
      </w:r>
      <w:r w:rsidR="00932907">
        <w:t>h can save over 750 million lit</w:t>
      </w:r>
      <w:r w:rsidR="00106F09">
        <w:t>r</w:t>
      </w:r>
      <w:r w:rsidR="00932907">
        <w:t>e</w:t>
      </w:r>
      <w:r w:rsidR="00106F09">
        <w:t>s of diesel worth 360 million USD at 2015 USD prices</w:t>
      </w:r>
      <w:r w:rsidR="00932907">
        <w:t xml:space="preserve"> by implementing the NAMA</w:t>
      </w:r>
      <w:r w:rsidR="00106F09">
        <w:rPr>
          <w:rStyle w:val="FootnoteReference"/>
        </w:rPr>
        <w:footnoteReference w:id="61"/>
      </w:r>
      <w:r w:rsidR="00106F09">
        <w:t>.</w:t>
      </w:r>
    </w:p>
    <w:p w:rsidR="00C57D42" w:rsidRDefault="00187E68" w:rsidP="00187E68">
      <w:pPr>
        <w:pStyle w:val="Heading2"/>
        <w:ind w:firstLine="720"/>
      </w:pPr>
      <w:bookmarkStart w:id="28" w:name="_Toc466207354"/>
      <w:r>
        <w:t xml:space="preserve">7.3. </w:t>
      </w:r>
      <w:r w:rsidR="00C57D42">
        <w:t>Social Impacts</w:t>
      </w:r>
      <w:bookmarkEnd w:id="28"/>
    </w:p>
    <w:p w:rsidR="00C57D42" w:rsidRDefault="00C57D42" w:rsidP="00C57D42"/>
    <w:p w:rsidR="00CC7E54" w:rsidRDefault="00CC7E54" w:rsidP="00CC7E54">
      <w:pPr>
        <w:jc w:val="both"/>
      </w:pPr>
      <w:r>
        <w:t>The social benefits of a shift from road to rail are basically less accidents and an improved air quality resulting in a positive health impact. Latter impact is quantified in the next section.</w:t>
      </w:r>
      <w:r w:rsidR="002942C0">
        <w:t xml:space="preserve"> Bangladesh had 2008 nearly 3,000 fatalities due to road accidents of which more than 80% occurred outside the major cities.</w:t>
      </w:r>
      <w:r w:rsidR="00391B6D">
        <w:t xml:space="preserve"> More </w:t>
      </w:r>
      <w:r w:rsidR="00932907">
        <w:t>than 50% of involved vehicles w</w:t>
      </w:r>
      <w:r w:rsidR="00391B6D">
        <w:t>ere buses or trucks.</w:t>
      </w:r>
      <w:r w:rsidR="00D9541B">
        <w:t xml:space="preserve"> The following table shows the parameters used to determine the impact on fatal traffic accidents.</w:t>
      </w:r>
    </w:p>
    <w:p w:rsidR="00D9541B" w:rsidRPr="00187E68" w:rsidRDefault="00187E68" w:rsidP="00187E68">
      <w:pPr>
        <w:pStyle w:val="NoSpacing"/>
        <w:rPr>
          <w:b/>
          <w:sz w:val="20"/>
        </w:rPr>
      </w:pPr>
      <w:r w:rsidRPr="00187E68">
        <w:rPr>
          <w:b/>
          <w:sz w:val="20"/>
        </w:rPr>
        <w:lastRenderedPageBreak/>
        <w:t xml:space="preserve">Table </w:t>
      </w:r>
      <w:r w:rsidRPr="00187E68">
        <w:rPr>
          <w:b/>
          <w:sz w:val="20"/>
        </w:rPr>
        <w:fldChar w:fldCharType="begin"/>
      </w:r>
      <w:r w:rsidRPr="00187E68">
        <w:rPr>
          <w:b/>
          <w:sz w:val="20"/>
        </w:rPr>
        <w:instrText xml:space="preserve"> SEQ Table \* ARABIC </w:instrText>
      </w:r>
      <w:r w:rsidRPr="00187E68">
        <w:rPr>
          <w:b/>
          <w:sz w:val="20"/>
        </w:rPr>
        <w:fldChar w:fldCharType="separate"/>
      </w:r>
      <w:r w:rsidR="00AC6EDE">
        <w:rPr>
          <w:b/>
          <w:noProof/>
          <w:sz w:val="20"/>
        </w:rPr>
        <w:t>9</w:t>
      </w:r>
      <w:r w:rsidRPr="00187E68">
        <w:rPr>
          <w:b/>
          <w:sz w:val="20"/>
        </w:rPr>
        <w:fldChar w:fldCharType="end"/>
      </w:r>
      <w:r w:rsidR="00D9541B" w:rsidRPr="00187E68">
        <w:rPr>
          <w:b/>
          <w:sz w:val="20"/>
        </w:rPr>
        <w:t>: Parameters for Determination of Fatal Accident Rates</w:t>
      </w:r>
    </w:p>
    <w:tbl>
      <w:tblPr>
        <w:tblStyle w:val="TableGrid"/>
        <w:tblW w:w="0" w:type="auto"/>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4242"/>
        <w:gridCol w:w="1761"/>
        <w:gridCol w:w="3003"/>
      </w:tblGrid>
      <w:tr w:rsidR="00D9541B" w:rsidRPr="00D9541B" w:rsidTr="001A7E26">
        <w:tc>
          <w:tcPr>
            <w:tcW w:w="4242" w:type="dxa"/>
            <w:shd w:val="clear" w:color="auto" w:fill="DEEAF6" w:themeFill="accent1" w:themeFillTint="33"/>
          </w:tcPr>
          <w:p w:rsidR="00D9541B" w:rsidRPr="00D9541B" w:rsidRDefault="00D9541B" w:rsidP="00D9541B">
            <w:pPr>
              <w:pStyle w:val="NoSpacing"/>
              <w:rPr>
                <w:b/>
                <w:sz w:val="20"/>
              </w:rPr>
            </w:pPr>
            <w:r w:rsidRPr="00D9541B">
              <w:rPr>
                <w:b/>
                <w:sz w:val="20"/>
              </w:rPr>
              <w:t>Parameter</w:t>
            </w:r>
          </w:p>
        </w:tc>
        <w:tc>
          <w:tcPr>
            <w:tcW w:w="1761" w:type="dxa"/>
            <w:shd w:val="clear" w:color="auto" w:fill="DEEAF6" w:themeFill="accent1" w:themeFillTint="33"/>
          </w:tcPr>
          <w:p w:rsidR="00D9541B" w:rsidRPr="00D9541B" w:rsidRDefault="00D9541B" w:rsidP="00052039">
            <w:pPr>
              <w:pStyle w:val="NoSpacing"/>
              <w:jc w:val="center"/>
              <w:rPr>
                <w:b/>
                <w:sz w:val="20"/>
              </w:rPr>
            </w:pPr>
            <w:r w:rsidRPr="00D9541B">
              <w:rPr>
                <w:b/>
                <w:sz w:val="20"/>
              </w:rPr>
              <w:t>Value</w:t>
            </w:r>
          </w:p>
        </w:tc>
        <w:tc>
          <w:tcPr>
            <w:tcW w:w="3003" w:type="dxa"/>
            <w:shd w:val="clear" w:color="auto" w:fill="DEEAF6" w:themeFill="accent1" w:themeFillTint="33"/>
          </w:tcPr>
          <w:p w:rsidR="00D9541B" w:rsidRPr="00D9541B" w:rsidRDefault="00D9541B" w:rsidP="00D9541B">
            <w:pPr>
              <w:pStyle w:val="NoSpacing"/>
              <w:rPr>
                <w:b/>
                <w:sz w:val="20"/>
              </w:rPr>
            </w:pPr>
            <w:r w:rsidRPr="00D9541B">
              <w:rPr>
                <w:b/>
                <w:sz w:val="20"/>
              </w:rPr>
              <w:t>Source</w:t>
            </w:r>
          </w:p>
        </w:tc>
      </w:tr>
      <w:tr w:rsidR="00052039" w:rsidRPr="00D9541B" w:rsidTr="001A7E26">
        <w:tc>
          <w:tcPr>
            <w:tcW w:w="4242" w:type="dxa"/>
          </w:tcPr>
          <w:p w:rsidR="00052039" w:rsidRPr="00D9541B" w:rsidRDefault="00052039" w:rsidP="00D9541B">
            <w:pPr>
              <w:pStyle w:val="NoSpacing"/>
              <w:rPr>
                <w:sz w:val="20"/>
              </w:rPr>
            </w:pPr>
            <w:r>
              <w:rPr>
                <w:sz w:val="20"/>
              </w:rPr>
              <w:t>Registered trucks 2008</w:t>
            </w:r>
          </w:p>
        </w:tc>
        <w:tc>
          <w:tcPr>
            <w:tcW w:w="1761" w:type="dxa"/>
          </w:tcPr>
          <w:p w:rsidR="00052039" w:rsidRPr="00D9541B" w:rsidRDefault="00052039" w:rsidP="00052039">
            <w:pPr>
              <w:pStyle w:val="NoSpacing"/>
              <w:jc w:val="center"/>
              <w:rPr>
                <w:sz w:val="20"/>
              </w:rPr>
            </w:pPr>
            <w:r>
              <w:rPr>
                <w:sz w:val="20"/>
              </w:rPr>
              <w:t>64,944</w:t>
            </w:r>
          </w:p>
        </w:tc>
        <w:tc>
          <w:tcPr>
            <w:tcW w:w="3003" w:type="dxa"/>
            <w:vMerge w:val="restart"/>
            <w:vAlign w:val="center"/>
          </w:tcPr>
          <w:p w:rsidR="00052039" w:rsidRPr="00D9541B" w:rsidRDefault="00052039" w:rsidP="00052039">
            <w:pPr>
              <w:pStyle w:val="NoSpacing"/>
              <w:rPr>
                <w:sz w:val="20"/>
              </w:rPr>
            </w:pPr>
            <w:r>
              <w:rPr>
                <w:sz w:val="20"/>
              </w:rPr>
              <w:t>BRTA, 2008, table 4-2</w:t>
            </w:r>
          </w:p>
        </w:tc>
      </w:tr>
      <w:tr w:rsidR="00052039" w:rsidRPr="00D9541B" w:rsidTr="001A7E26">
        <w:tc>
          <w:tcPr>
            <w:tcW w:w="4242" w:type="dxa"/>
          </w:tcPr>
          <w:p w:rsidR="00052039" w:rsidRPr="00D9541B" w:rsidRDefault="00052039" w:rsidP="00D9541B">
            <w:pPr>
              <w:pStyle w:val="NoSpacing"/>
              <w:rPr>
                <w:sz w:val="20"/>
              </w:rPr>
            </w:pPr>
            <w:r>
              <w:rPr>
                <w:sz w:val="20"/>
              </w:rPr>
              <w:t>Registered buses 2008</w:t>
            </w:r>
          </w:p>
        </w:tc>
        <w:tc>
          <w:tcPr>
            <w:tcW w:w="1761" w:type="dxa"/>
          </w:tcPr>
          <w:p w:rsidR="00052039" w:rsidRPr="00D9541B" w:rsidRDefault="00052039" w:rsidP="00052039">
            <w:pPr>
              <w:pStyle w:val="NoSpacing"/>
              <w:jc w:val="center"/>
              <w:rPr>
                <w:sz w:val="20"/>
              </w:rPr>
            </w:pPr>
            <w:r>
              <w:rPr>
                <w:sz w:val="20"/>
              </w:rPr>
              <w:t>35,987</w:t>
            </w:r>
          </w:p>
        </w:tc>
        <w:tc>
          <w:tcPr>
            <w:tcW w:w="3003" w:type="dxa"/>
            <w:vMerge/>
            <w:vAlign w:val="center"/>
          </w:tcPr>
          <w:p w:rsidR="00052039" w:rsidRPr="00D9541B" w:rsidRDefault="00052039" w:rsidP="00052039">
            <w:pPr>
              <w:pStyle w:val="NoSpacing"/>
              <w:rPr>
                <w:sz w:val="20"/>
              </w:rPr>
            </w:pPr>
          </w:p>
        </w:tc>
      </w:tr>
      <w:tr w:rsidR="00052039" w:rsidRPr="00D9541B" w:rsidTr="001A7E26">
        <w:tc>
          <w:tcPr>
            <w:tcW w:w="4242" w:type="dxa"/>
          </w:tcPr>
          <w:p w:rsidR="00052039" w:rsidRPr="00D9541B" w:rsidRDefault="00052039" w:rsidP="00D9541B">
            <w:pPr>
              <w:pStyle w:val="NoSpacing"/>
              <w:rPr>
                <w:sz w:val="20"/>
              </w:rPr>
            </w:pPr>
            <w:r>
              <w:rPr>
                <w:sz w:val="20"/>
              </w:rPr>
              <w:t>Share of truck involvement in fatal accident 2008</w:t>
            </w:r>
          </w:p>
        </w:tc>
        <w:tc>
          <w:tcPr>
            <w:tcW w:w="1761" w:type="dxa"/>
          </w:tcPr>
          <w:p w:rsidR="00052039" w:rsidRPr="00D9541B" w:rsidRDefault="00052039" w:rsidP="00052039">
            <w:pPr>
              <w:pStyle w:val="NoSpacing"/>
              <w:jc w:val="center"/>
              <w:rPr>
                <w:sz w:val="20"/>
              </w:rPr>
            </w:pPr>
            <w:r>
              <w:rPr>
                <w:sz w:val="20"/>
              </w:rPr>
              <w:t>24%</w:t>
            </w:r>
          </w:p>
        </w:tc>
        <w:tc>
          <w:tcPr>
            <w:tcW w:w="3003" w:type="dxa"/>
            <w:vMerge w:val="restart"/>
            <w:vAlign w:val="center"/>
          </w:tcPr>
          <w:p w:rsidR="00052039" w:rsidRPr="00D9541B" w:rsidRDefault="00052039" w:rsidP="00052039">
            <w:pPr>
              <w:pStyle w:val="NoSpacing"/>
              <w:rPr>
                <w:sz w:val="20"/>
              </w:rPr>
            </w:pPr>
            <w:r>
              <w:rPr>
                <w:sz w:val="20"/>
              </w:rPr>
              <w:t>BRTA, 2008, table 4-2 incl. single and multiple vehicle involvement</w:t>
            </w:r>
          </w:p>
        </w:tc>
      </w:tr>
      <w:tr w:rsidR="00052039" w:rsidRPr="00D9541B" w:rsidTr="001A7E26">
        <w:tc>
          <w:tcPr>
            <w:tcW w:w="4242" w:type="dxa"/>
          </w:tcPr>
          <w:p w:rsidR="00052039" w:rsidRPr="00D9541B" w:rsidRDefault="00052039" w:rsidP="00D9541B">
            <w:pPr>
              <w:pStyle w:val="NoSpacing"/>
              <w:rPr>
                <w:sz w:val="20"/>
              </w:rPr>
            </w:pPr>
            <w:r>
              <w:rPr>
                <w:sz w:val="20"/>
              </w:rPr>
              <w:t>Share of bus involvement in fatal accident 2008</w:t>
            </w:r>
          </w:p>
        </w:tc>
        <w:tc>
          <w:tcPr>
            <w:tcW w:w="1761" w:type="dxa"/>
          </w:tcPr>
          <w:p w:rsidR="00052039" w:rsidRPr="00D9541B" w:rsidRDefault="00052039" w:rsidP="00052039">
            <w:pPr>
              <w:pStyle w:val="NoSpacing"/>
              <w:jc w:val="center"/>
              <w:rPr>
                <w:sz w:val="20"/>
              </w:rPr>
            </w:pPr>
          </w:p>
        </w:tc>
        <w:tc>
          <w:tcPr>
            <w:tcW w:w="3003" w:type="dxa"/>
            <w:vMerge/>
            <w:vAlign w:val="center"/>
          </w:tcPr>
          <w:p w:rsidR="00052039" w:rsidRPr="00D9541B" w:rsidRDefault="00052039" w:rsidP="00052039">
            <w:pPr>
              <w:pStyle w:val="NoSpacing"/>
              <w:rPr>
                <w:sz w:val="20"/>
              </w:rPr>
            </w:pPr>
          </w:p>
        </w:tc>
      </w:tr>
      <w:tr w:rsidR="00D9541B" w:rsidRPr="00D9541B" w:rsidTr="001A7E26">
        <w:tc>
          <w:tcPr>
            <w:tcW w:w="4242" w:type="dxa"/>
          </w:tcPr>
          <w:p w:rsidR="00D9541B" w:rsidRDefault="00D9541B" w:rsidP="00D9541B">
            <w:pPr>
              <w:pStyle w:val="NoSpacing"/>
              <w:rPr>
                <w:sz w:val="20"/>
              </w:rPr>
            </w:pPr>
            <w:r>
              <w:rPr>
                <w:sz w:val="20"/>
              </w:rPr>
              <w:t>Fatalities non-urban traffic accidents 2008</w:t>
            </w:r>
          </w:p>
        </w:tc>
        <w:tc>
          <w:tcPr>
            <w:tcW w:w="1761" w:type="dxa"/>
          </w:tcPr>
          <w:p w:rsidR="00D9541B" w:rsidRPr="00D9541B" w:rsidRDefault="00D9541B" w:rsidP="00052039">
            <w:pPr>
              <w:pStyle w:val="NoSpacing"/>
              <w:jc w:val="center"/>
              <w:rPr>
                <w:sz w:val="20"/>
              </w:rPr>
            </w:pPr>
            <w:r>
              <w:rPr>
                <w:sz w:val="20"/>
              </w:rPr>
              <w:t>2,210</w:t>
            </w:r>
          </w:p>
        </w:tc>
        <w:tc>
          <w:tcPr>
            <w:tcW w:w="3003" w:type="dxa"/>
            <w:vAlign w:val="center"/>
          </w:tcPr>
          <w:p w:rsidR="00D9541B" w:rsidRPr="00D9541B" w:rsidRDefault="00052039" w:rsidP="00052039">
            <w:pPr>
              <w:pStyle w:val="NoSpacing"/>
              <w:rPr>
                <w:sz w:val="20"/>
              </w:rPr>
            </w:pPr>
            <w:r>
              <w:rPr>
                <w:sz w:val="20"/>
              </w:rPr>
              <w:t>BRTA, 2008</w:t>
            </w:r>
          </w:p>
        </w:tc>
      </w:tr>
      <w:tr w:rsidR="00D9541B" w:rsidRPr="00D9541B" w:rsidTr="001A7E26">
        <w:tc>
          <w:tcPr>
            <w:tcW w:w="4242" w:type="dxa"/>
          </w:tcPr>
          <w:p w:rsidR="00D9541B" w:rsidRPr="00D9541B" w:rsidRDefault="00D9541B" w:rsidP="00D9541B">
            <w:pPr>
              <w:pStyle w:val="NoSpacing"/>
              <w:rPr>
                <w:sz w:val="20"/>
              </w:rPr>
            </w:pPr>
            <w:r>
              <w:rPr>
                <w:sz w:val="20"/>
              </w:rPr>
              <w:t>Annual distance driven truck/bus</w:t>
            </w:r>
          </w:p>
        </w:tc>
        <w:tc>
          <w:tcPr>
            <w:tcW w:w="1761" w:type="dxa"/>
          </w:tcPr>
          <w:p w:rsidR="00D9541B" w:rsidRPr="00D9541B" w:rsidRDefault="00D9541B" w:rsidP="00052039">
            <w:pPr>
              <w:pStyle w:val="NoSpacing"/>
              <w:jc w:val="center"/>
              <w:rPr>
                <w:sz w:val="20"/>
              </w:rPr>
            </w:pPr>
            <w:r>
              <w:rPr>
                <w:sz w:val="20"/>
              </w:rPr>
              <w:t>80,000km</w:t>
            </w:r>
          </w:p>
        </w:tc>
        <w:tc>
          <w:tcPr>
            <w:tcW w:w="3003" w:type="dxa"/>
            <w:vAlign w:val="center"/>
          </w:tcPr>
          <w:p w:rsidR="00D9541B" w:rsidRPr="00D9541B" w:rsidRDefault="00C14C7F" w:rsidP="00052039">
            <w:pPr>
              <w:pStyle w:val="NoSpacing"/>
              <w:rPr>
                <w:sz w:val="20"/>
              </w:rPr>
            </w:pPr>
            <w:r>
              <w:rPr>
                <w:sz w:val="20"/>
              </w:rPr>
              <w:t>Grütter</w:t>
            </w:r>
            <w:r w:rsidR="00052039">
              <w:rPr>
                <w:sz w:val="20"/>
              </w:rPr>
              <w:t xml:space="preserve"> Consulting</w:t>
            </w:r>
          </w:p>
        </w:tc>
      </w:tr>
      <w:tr w:rsidR="00052039" w:rsidRPr="00D9541B" w:rsidTr="001A7E26">
        <w:tc>
          <w:tcPr>
            <w:tcW w:w="4242" w:type="dxa"/>
          </w:tcPr>
          <w:p w:rsidR="00052039" w:rsidRDefault="00052039" w:rsidP="00D9541B">
            <w:pPr>
              <w:pStyle w:val="NoSpacing"/>
              <w:rPr>
                <w:sz w:val="20"/>
              </w:rPr>
            </w:pPr>
            <w:r>
              <w:rPr>
                <w:sz w:val="20"/>
              </w:rPr>
              <w:t>Total fatalities BR 2009/10 to 2013/14</w:t>
            </w:r>
          </w:p>
        </w:tc>
        <w:tc>
          <w:tcPr>
            <w:tcW w:w="1761" w:type="dxa"/>
          </w:tcPr>
          <w:p w:rsidR="00052039" w:rsidRPr="00D9541B" w:rsidRDefault="00052039" w:rsidP="00052039">
            <w:pPr>
              <w:pStyle w:val="NoSpacing"/>
              <w:jc w:val="center"/>
              <w:rPr>
                <w:sz w:val="20"/>
              </w:rPr>
            </w:pPr>
            <w:r>
              <w:rPr>
                <w:sz w:val="20"/>
              </w:rPr>
              <w:t>148</w:t>
            </w:r>
          </w:p>
        </w:tc>
        <w:tc>
          <w:tcPr>
            <w:tcW w:w="3003" w:type="dxa"/>
            <w:vMerge w:val="restart"/>
            <w:vAlign w:val="center"/>
          </w:tcPr>
          <w:p w:rsidR="00052039" w:rsidRPr="00D9541B" w:rsidRDefault="00052039" w:rsidP="00052039">
            <w:pPr>
              <w:pStyle w:val="NoSpacing"/>
              <w:rPr>
                <w:sz w:val="20"/>
              </w:rPr>
            </w:pPr>
            <w:r>
              <w:rPr>
                <w:sz w:val="20"/>
              </w:rPr>
              <w:t>BR annual yearbooks</w:t>
            </w:r>
          </w:p>
        </w:tc>
      </w:tr>
      <w:tr w:rsidR="00052039" w:rsidRPr="00D9541B" w:rsidTr="001A7E26">
        <w:tc>
          <w:tcPr>
            <w:tcW w:w="4242" w:type="dxa"/>
          </w:tcPr>
          <w:p w:rsidR="00052039" w:rsidRDefault="00052039" w:rsidP="00D9541B">
            <w:pPr>
              <w:pStyle w:val="NoSpacing"/>
              <w:rPr>
                <w:sz w:val="20"/>
              </w:rPr>
            </w:pPr>
            <w:r>
              <w:rPr>
                <w:sz w:val="20"/>
              </w:rPr>
              <w:t>Total pkm + tkm 2009/10 to 2013/</w:t>
            </w:r>
          </w:p>
        </w:tc>
        <w:tc>
          <w:tcPr>
            <w:tcW w:w="1761" w:type="dxa"/>
          </w:tcPr>
          <w:p w:rsidR="00052039" w:rsidRPr="00D9541B" w:rsidRDefault="00052039" w:rsidP="00052039">
            <w:pPr>
              <w:pStyle w:val="NoSpacing"/>
              <w:jc w:val="center"/>
              <w:rPr>
                <w:sz w:val="20"/>
              </w:rPr>
            </w:pPr>
            <w:r>
              <w:rPr>
                <w:sz w:val="20"/>
              </w:rPr>
              <w:t>43,720 Mtkm/pkm</w:t>
            </w:r>
          </w:p>
        </w:tc>
        <w:tc>
          <w:tcPr>
            <w:tcW w:w="3003" w:type="dxa"/>
            <w:vMerge/>
          </w:tcPr>
          <w:p w:rsidR="00052039" w:rsidRPr="00D9541B" w:rsidRDefault="00052039" w:rsidP="00D9541B">
            <w:pPr>
              <w:pStyle w:val="NoSpacing"/>
              <w:rPr>
                <w:sz w:val="20"/>
              </w:rPr>
            </w:pPr>
          </w:p>
        </w:tc>
      </w:tr>
      <w:tr w:rsidR="00D9541B" w:rsidRPr="00D9541B" w:rsidTr="001A7E26">
        <w:trPr>
          <w:trHeight w:val="391"/>
        </w:trPr>
        <w:tc>
          <w:tcPr>
            <w:tcW w:w="4242" w:type="dxa"/>
          </w:tcPr>
          <w:p w:rsidR="00D9541B" w:rsidRDefault="00D9541B" w:rsidP="00D9541B">
            <w:pPr>
              <w:pStyle w:val="NoSpacing"/>
              <w:rPr>
                <w:sz w:val="20"/>
              </w:rPr>
            </w:pPr>
            <w:r>
              <w:rPr>
                <w:sz w:val="20"/>
              </w:rPr>
              <w:t>Accident cost</w:t>
            </w:r>
          </w:p>
        </w:tc>
        <w:tc>
          <w:tcPr>
            <w:tcW w:w="1761" w:type="dxa"/>
          </w:tcPr>
          <w:p w:rsidR="00D9541B" w:rsidRPr="00D9541B" w:rsidRDefault="00052039" w:rsidP="00052039">
            <w:pPr>
              <w:pStyle w:val="NoSpacing"/>
              <w:jc w:val="center"/>
              <w:rPr>
                <w:sz w:val="20"/>
              </w:rPr>
            </w:pPr>
            <w:r>
              <w:rPr>
                <w:sz w:val="20"/>
              </w:rPr>
              <w:t>0.13 USD/l diesel</w:t>
            </w:r>
          </w:p>
        </w:tc>
        <w:tc>
          <w:tcPr>
            <w:tcW w:w="3003" w:type="dxa"/>
          </w:tcPr>
          <w:p w:rsidR="00D9541B" w:rsidRPr="00D9541B" w:rsidRDefault="00052039" w:rsidP="00634F25">
            <w:pPr>
              <w:pStyle w:val="NoSpacing"/>
              <w:rPr>
                <w:sz w:val="20"/>
              </w:rPr>
            </w:pPr>
            <w:r>
              <w:rPr>
                <w:sz w:val="20"/>
              </w:rPr>
              <w:t>IMF, 2013 for Bangladesh</w:t>
            </w:r>
            <w:r w:rsidR="00634F25">
              <w:rPr>
                <w:sz w:val="20"/>
              </w:rPr>
              <w:t xml:space="preserve"> USD of 2015</w:t>
            </w:r>
          </w:p>
        </w:tc>
      </w:tr>
      <w:tr w:rsidR="00D9541B" w:rsidRPr="00D9541B" w:rsidTr="001A7E26">
        <w:tc>
          <w:tcPr>
            <w:tcW w:w="4242" w:type="dxa"/>
          </w:tcPr>
          <w:p w:rsidR="00D9541B" w:rsidRDefault="00D9541B" w:rsidP="001A7E26">
            <w:pPr>
              <w:pStyle w:val="NoSpacing"/>
              <w:rPr>
                <w:sz w:val="20"/>
              </w:rPr>
            </w:pPr>
            <w:r>
              <w:rPr>
                <w:sz w:val="20"/>
              </w:rPr>
              <w:t>Fatalities per million bus km</w:t>
            </w:r>
          </w:p>
        </w:tc>
        <w:tc>
          <w:tcPr>
            <w:tcW w:w="1761" w:type="dxa"/>
          </w:tcPr>
          <w:p w:rsidR="00D9541B" w:rsidRPr="00D9541B" w:rsidRDefault="001A7E26" w:rsidP="00052039">
            <w:pPr>
              <w:pStyle w:val="NoSpacing"/>
              <w:jc w:val="center"/>
              <w:rPr>
                <w:sz w:val="20"/>
              </w:rPr>
            </w:pPr>
            <w:r>
              <w:rPr>
                <w:sz w:val="20"/>
              </w:rPr>
              <w:t>0.20</w:t>
            </w:r>
          </w:p>
        </w:tc>
        <w:tc>
          <w:tcPr>
            <w:tcW w:w="3003" w:type="dxa"/>
          </w:tcPr>
          <w:p w:rsidR="00D9541B" w:rsidRPr="00D9541B" w:rsidRDefault="00052039" w:rsidP="00D9541B">
            <w:pPr>
              <w:pStyle w:val="NoSpacing"/>
              <w:rPr>
                <w:sz w:val="20"/>
              </w:rPr>
            </w:pPr>
            <w:r>
              <w:rPr>
                <w:sz w:val="20"/>
              </w:rPr>
              <w:t>Calculation</w:t>
            </w:r>
          </w:p>
        </w:tc>
      </w:tr>
      <w:tr w:rsidR="001A7E26" w:rsidRPr="00D9541B" w:rsidTr="001A7E26">
        <w:trPr>
          <w:trHeight w:val="203"/>
        </w:trPr>
        <w:tc>
          <w:tcPr>
            <w:tcW w:w="4242" w:type="dxa"/>
          </w:tcPr>
          <w:p w:rsidR="001A7E26" w:rsidRDefault="001A7E26" w:rsidP="001A7E26">
            <w:pPr>
              <w:pStyle w:val="NoSpacing"/>
              <w:rPr>
                <w:sz w:val="20"/>
              </w:rPr>
            </w:pPr>
            <w:r>
              <w:rPr>
                <w:sz w:val="20"/>
              </w:rPr>
              <w:t>Fatalities per million truck km</w:t>
            </w:r>
          </w:p>
        </w:tc>
        <w:tc>
          <w:tcPr>
            <w:tcW w:w="1761" w:type="dxa"/>
          </w:tcPr>
          <w:p w:rsidR="001A7E26" w:rsidRPr="00D9541B" w:rsidRDefault="001A7E26" w:rsidP="001A7E26">
            <w:pPr>
              <w:pStyle w:val="NoSpacing"/>
              <w:jc w:val="center"/>
              <w:rPr>
                <w:sz w:val="20"/>
              </w:rPr>
            </w:pPr>
            <w:r>
              <w:rPr>
                <w:sz w:val="20"/>
              </w:rPr>
              <w:t>0.10</w:t>
            </w:r>
          </w:p>
        </w:tc>
        <w:tc>
          <w:tcPr>
            <w:tcW w:w="3003" w:type="dxa"/>
          </w:tcPr>
          <w:p w:rsidR="001A7E26" w:rsidRPr="00D9541B" w:rsidRDefault="001A7E26" w:rsidP="001A7E26">
            <w:pPr>
              <w:pStyle w:val="NoSpacing"/>
              <w:rPr>
                <w:sz w:val="20"/>
              </w:rPr>
            </w:pPr>
            <w:r>
              <w:rPr>
                <w:sz w:val="20"/>
              </w:rPr>
              <w:t>Calculation</w:t>
            </w:r>
          </w:p>
        </w:tc>
      </w:tr>
      <w:tr w:rsidR="001A7E26" w:rsidRPr="00D9541B" w:rsidTr="001A7E26">
        <w:trPr>
          <w:trHeight w:val="203"/>
        </w:trPr>
        <w:tc>
          <w:tcPr>
            <w:tcW w:w="4242" w:type="dxa"/>
          </w:tcPr>
          <w:p w:rsidR="001A7E26" w:rsidRDefault="001A7E26" w:rsidP="001A7E26">
            <w:pPr>
              <w:pStyle w:val="NoSpacing"/>
              <w:rPr>
                <w:sz w:val="20"/>
              </w:rPr>
            </w:pPr>
            <w:r>
              <w:rPr>
                <w:sz w:val="20"/>
              </w:rPr>
              <w:t>Fatalities per million pkm and tkm rail</w:t>
            </w:r>
          </w:p>
        </w:tc>
        <w:tc>
          <w:tcPr>
            <w:tcW w:w="1761" w:type="dxa"/>
          </w:tcPr>
          <w:p w:rsidR="001A7E26" w:rsidRPr="00D9541B" w:rsidRDefault="001A7E26" w:rsidP="001A7E26">
            <w:pPr>
              <w:pStyle w:val="NoSpacing"/>
              <w:jc w:val="center"/>
              <w:rPr>
                <w:sz w:val="20"/>
              </w:rPr>
            </w:pPr>
            <w:r>
              <w:rPr>
                <w:sz w:val="20"/>
              </w:rPr>
              <w:t>0.0034</w:t>
            </w:r>
          </w:p>
        </w:tc>
        <w:tc>
          <w:tcPr>
            <w:tcW w:w="3003" w:type="dxa"/>
          </w:tcPr>
          <w:p w:rsidR="001A7E26" w:rsidRPr="00D9541B" w:rsidRDefault="001A7E26" w:rsidP="001A7E26">
            <w:pPr>
              <w:pStyle w:val="NoSpacing"/>
              <w:rPr>
                <w:sz w:val="20"/>
              </w:rPr>
            </w:pPr>
            <w:r>
              <w:rPr>
                <w:sz w:val="20"/>
              </w:rPr>
              <w:t>Calculation</w:t>
            </w:r>
          </w:p>
        </w:tc>
      </w:tr>
    </w:tbl>
    <w:p w:rsidR="00D9541B" w:rsidRDefault="00D9541B" w:rsidP="00E71440">
      <w:pPr>
        <w:pStyle w:val="NoSpacing"/>
      </w:pPr>
    </w:p>
    <w:p w:rsidR="00634F25" w:rsidRDefault="00634F25" w:rsidP="00E71440">
      <w:pPr>
        <w:jc w:val="both"/>
      </w:pPr>
      <w:r>
        <w:t xml:space="preserve">The NAMA can reduce </w:t>
      </w:r>
      <w:r w:rsidR="00932907">
        <w:t xml:space="preserve">235 </w:t>
      </w:r>
      <w:r>
        <w:t>fatal accident</w:t>
      </w:r>
      <w:r w:rsidR="001A7E26">
        <w:t>s over the period 2017-2030 (by 2030 35</w:t>
      </w:r>
      <w:r>
        <w:t xml:space="preserve"> persons) and reduce accident costs by a cumulative 98 MUSD or on average 7 MUSD per annum. This includes total accident cost and not only fatalities. For more details</w:t>
      </w:r>
      <w:r w:rsidR="00E71440">
        <w:t>,</w:t>
      </w:r>
      <w:r>
        <w:t xml:space="preserve"> see Annex 1.</w:t>
      </w:r>
    </w:p>
    <w:p w:rsidR="00E71440" w:rsidRDefault="00187E68" w:rsidP="00187E68">
      <w:pPr>
        <w:pStyle w:val="Heading2"/>
        <w:ind w:firstLine="720"/>
      </w:pPr>
      <w:bookmarkStart w:id="29" w:name="_Toc466207355"/>
      <w:r>
        <w:t xml:space="preserve">7.4. </w:t>
      </w:r>
      <w:r w:rsidR="00E71440">
        <w:t>Environmental Impacts</w:t>
      </w:r>
      <w:bookmarkEnd w:id="29"/>
    </w:p>
    <w:p w:rsidR="00187E68" w:rsidRPr="00187E68" w:rsidRDefault="00187E68" w:rsidP="00187E68"/>
    <w:p w:rsidR="000A18BB" w:rsidRDefault="000A18BB" w:rsidP="000A18BB">
      <w:pPr>
        <w:jc w:val="both"/>
      </w:pPr>
      <w:r>
        <w:t>The environmental impact avoided is basically in terms of reduced particle matter and NO</w:t>
      </w:r>
      <w:r w:rsidRPr="000A18BB">
        <w:rPr>
          <w:vertAlign w:val="subscript"/>
        </w:rPr>
        <w:t>x</w:t>
      </w:r>
      <w:r>
        <w:t xml:space="preserve"> emissions due to minor usage of trucks and buses. The physical and the monetary impact is calculated. The following table shows the parameters used to determine the impact on air pollution.</w:t>
      </w:r>
    </w:p>
    <w:p w:rsidR="000A18BB" w:rsidRPr="00187E68" w:rsidRDefault="00187E68" w:rsidP="00187E68">
      <w:pPr>
        <w:pStyle w:val="NoSpacing"/>
        <w:rPr>
          <w:b/>
          <w:sz w:val="20"/>
        </w:rPr>
      </w:pPr>
      <w:r w:rsidRPr="00187E68">
        <w:rPr>
          <w:b/>
          <w:sz w:val="20"/>
        </w:rPr>
        <w:t xml:space="preserve">Table </w:t>
      </w:r>
      <w:r w:rsidRPr="00187E68">
        <w:rPr>
          <w:b/>
          <w:sz w:val="20"/>
        </w:rPr>
        <w:fldChar w:fldCharType="begin"/>
      </w:r>
      <w:r w:rsidRPr="00187E68">
        <w:rPr>
          <w:b/>
          <w:sz w:val="20"/>
        </w:rPr>
        <w:instrText xml:space="preserve"> SEQ Table \* ARABIC </w:instrText>
      </w:r>
      <w:r w:rsidRPr="00187E68">
        <w:rPr>
          <w:b/>
          <w:sz w:val="20"/>
        </w:rPr>
        <w:fldChar w:fldCharType="separate"/>
      </w:r>
      <w:r w:rsidR="00AC6EDE">
        <w:rPr>
          <w:b/>
          <w:noProof/>
          <w:sz w:val="20"/>
        </w:rPr>
        <w:t>10</w:t>
      </w:r>
      <w:r w:rsidRPr="00187E68">
        <w:rPr>
          <w:b/>
          <w:sz w:val="20"/>
        </w:rPr>
        <w:fldChar w:fldCharType="end"/>
      </w:r>
      <w:r w:rsidR="000A18BB" w:rsidRPr="00187E68">
        <w:rPr>
          <w:b/>
          <w:sz w:val="20"/>
        </w:rPr>
        <w:t>: Parameters for Determination of Fatal Accident Rates</w:t>
      </w:r>
    </w:p>
    <w:tbl>
      <w:tblPr>
        <w:tblStyle w:val="TableGrid"/>
        <w:tblW w:w="0" w:type="auto"/>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3676"/>
        <w:gridCol w:w="1701"/>
        <w:gridCol w:w="3629"/>
      </w:tblGrid>
      <w:tr w:rsidR="000A18BB" w:rsidRPr="00D9541B" w:rsidTr="000A18BB">
        <w:tc>
          <w:tcPr>
            <w:tcW w:w="3676" w:type="dxa"/>
            <w:shd w:val="clear" w:color="auto" w:fill="DEEAF6" w:themeFill="accent1" w:themeFillTint="33"/>
          </w:tcPr>
          <w:p w:rsidR="000A18BB" w:rsidRPr="00D9541B" w:rsidRDefault="000A18BB" w:rsidP="007F0E9B">
            <w:pPr>
              <w:pStyle w:val="NoSpacing"/>
              <w:rPr>
                <w:b/>
                <w:sz w:val="20"/>
              </w:rPr>
            </w:pPr>
            <w:r w:rsidRPr="00D9541B">
              <w:rPr>
                <w:b/>
                <w:sz w:val="20"/>
              </w:rPr>
              <w:t>Parameter</w:t>
            </w:r>
          </w:p>
        </w:tc>
        <w:tc>
          <w:tcPr>
            <w:tcW w:w="1701" w:type="dxa"/>
            <w:shd w:val="clear" w:color="auto" w:fill="DEEAF6" w:themeFill="accent1" w:themeFillTint="33"/>
          </w:tcPr>
          <w:p w:rsidR="000A18BB" w:rsidRPr="00D9541B" w:rsidRDefault="000A18BB" w:rsidP="007F0E9B">
            <w:pPr>
              <w:pStyle w:val="NoSpacing"/>
              <w:jc w:val="center"/>
              <w:rPr>
                <w:b/>
                <w:sz w:val="20"/>
              </w:rPr>
            </w:pPr>
            <w:r w:rsidRPr="00D9541B">
              <w:rPr>
                <w:b/>
                <w:sz w:val="20"/>
              </w:rPr>
              <w:t>Value</w:t>
            </w:r>
          </w:p>
        </w:tc>
        <w:tc>
          <w:tcPr>
            <w:tcW w:w="3629" w:type="dxa"/>
            <w:shd w:val="clear" w:color="auto" w:fill="DEEAF6" w:themeFill="accent1" w:themeFillTint="33"/>
          </w:tcPr>
          <w:p w:rsidR="000A18BB" w:rsidRPr="00D9541B" w:rsidRDefault="000A18BB" w:rsidP="007F0E9B">
            <w:pPr>
              <w:pStyle w:val="NoSpacing"/>
              <w:rPr>
                <w:b/>
                <w:sz w:val="20"/>
              </w:rPr>
            </w:pPr>
            <w:r w:rsidRPr="00D9541B">
              <w:rPr>
                <w:b/>
                <w:sz w:val="20"/>
              </w:rPr>
              <w:t>Source</w:t>
            </w:r>
          </w:p>
        </w:tc>
      </w:tr>
      <w:tr w:rsidR="000A18BB" w:rsidRPr="00D9541B" w:rsidTr="000A18BB">
        <w:tc>
          <w:tcPr>
            <w:tcW w:w="3676" w:type="dxa"/>
            <w:vAlign w:val="center"/>
          </w:tcPr>
          <w:p w:rsidR="000A18BB" w:rsidRPr="000A18BB" w:rsidRDefault="00932907" w:rsidP="000A18BB">
            <w:pPr>
              <w:rPr>
                <w:rFonts w:ascii="Calibri" w:hAnsi="Calibri"/>
                <w:color w:val="000000"/>
                <w:sz w:val="20"/>
                <w:szCs w:val="20"/>
                <w:lang w:val="de-DE"/>
              </w:rPr>
            </w:pPr>
            <w:r>
              <w:rPr>
                <w:rFonts w:ascii="Calibri" w:hAnsi="Calibri"/>
                <w:color w:val="000000"/>
                <w:sz w:val="20"/>
                <w:szCs w:val="20"/>
                <w:lang w:val="de-DE"/>
              </w:rPr>
              <w:t>PM</w:t>
            </w:r>
            <w:r w:rsidR="000A18BB" w:rsidRPr="000A18BB">
              <w:rPr>
                <w:rFonts w:ascii="Calibri" w:hAnsi="Calibri"/>
                <w:color w:val="000000"/>
                <w:sz w:val="20"/>
                <w:szCs w:val="20"/>
                <w:lang w:val="de-DE"/>
              </w:rPr>
              <w:t>2.5 emission</w:t>
            </w:r>
            <w:r>
              <w:rPr>
                <w:rFonts w:ascii="Calibri" w:hAnsi="Calibri"/>
                <w:color w:val="000000"/>
                <w:sz w:val="20"/>
                <w:szCs w:val="20"/>
                <w:lang w:val="de-DE"/>
              </w:rPr>
              <w:t>s</w:t>
            </w:r>
            <w:r w:rsidR="000A18BB" w:rsidRPr="000A18BB">
              <w:rPr>
                <w:rFonts w:ascii="Calibri" w:hAnsi="Calibri"/>
                <w:color w:val="000000"/>
                <w:sz w:val="20"/>
                <w:szCs w:val="20"/>
                <w:lang w:val="de-DE"/>
              </w:rPr>
              <w:t xml:space="preserve"> diesel coach Euro I</w:t>
            </w:r>
          </w:p>
        </w:tc>
        <w:tc>
          <w:tcPr>
            <w:tcW w:w="1701" w:type="dxa"/>
            <w:vAlign w:val="center"/>
          </w:tcPr>
          <w:p w:rsidR="000A18BB" w:rsidRPr="000A18BB" w:rsidRDefault="000A18BB" w:rsidP="000A18BB">
            <w:pPr>
              <w:jc w:val="center"/>
              <w:rPr>
                <w:rFonts w:ascii="Calibri" w:hAnsi="Calibri"/>
                <w:color w:val="000000"/>
                <w:sz w:val="20"/>
                <w:szCs w:val="20"/>
              </w:rPr>
            </w:pPr>
            <w:r w:rsidRPr="000A18BB">
              <w:rPr>
                <w:rFonts w:ascii="Calibri" w:hAnsi="Calibri"/>
                <w:color w:val="000000"/>
                <w:sz w:val="20"/>
                <w:szCs w:val="20"/>
              </w:rPr>
              <w:t>0.362 g/km</w:t>
            </w:r>
          </w:p>
        </w:tc>
        <w:tc>
          <w:tcPr>
            <w:tcW w:w="3629" w:type="dxa"/>
            <w:vAlign w:val="bottom"/>
          </w:tcPr>
          <w:p w:rsidR="000A18BB" w:rsidRPr="000A18BB" w:rsidRDefault="000A18BB" w:rsidP="000A18BB">
            <w:pPr>
              <w:rPr>
                <w:rFonts w:ascii="Calibri" w:hAnsi="Calibri"/>
                <w:color w:val="000000"/>
                <w:sz w:val="20"/>
                <w:szCs w:val="20"/>
              </w:rPr>
            </w:pPr>
            <w:r w:rsidRPr="000A18BB">
              <w:rPr>
                <w:rFonts w:ascii="Calibri" w:hAnsi="Calibri"/>
                <w:color w:val="000000"/>
                <w:sz w:val="20"/>
                <w:szCs w:val="20"/>
              </w:rPr>
              <w:t>COPERT, table 3-23, Tier 2 app</w:t>
            </w:r>
            <w:r w:rsidR="00932907">
              <w:rPr>
                <w:rFonts w:ascii="Calibri" w:hAnsi="Calibri"/>
                <w:color w:val="000000"/>
                <w:sz w:val="20"/>
                <w:szCs w:val="20"/>
              </w:rPr>
              <w:t>r</w:t>
            </w:r>
            <w:r w:rsidRPr="000A18BB">
              <w:rPr>
                <w:rFonts w:ascii="Calibri" w:hAnsi="Calibri"/>
                <w:color w:val="000000"/>
                <w:sz w:val="20"/>
                <w:szCs w:val="20"/>
              </w:rPr>
              <w:t>oach</w:t>
            </w:r>
          </w:p>
        </w:tc>
      </w:tr>
      <w:tr w:rsidR="000A18BB" w:rsidRPr="00D9541B" w:rsidTr="000A18BB">
        <w:tc>
          <w:tcPr>
            <w:tcW w:w="3676" w:type="dxa"/>
            <w:vAlign w:val="center"/>
          </w:tcPr>
          <w:p w:rsidR="000A18BB" w:rsidRPr="000A18BB" w:rsidRDefault="000A18BB" w:rsidP="000A18BB">
            <w:pPr>
              <w:rPr>
                <w:rFonts w:ascii="Calibri" w:hAnsi="Calibri"/>
                <w:color w:val="000000"/>
                <w:sz w:val="20"/>
                <w:szCs w:val="20"/>
                <w:lang w:val="de-DE"/>
              </w:rPr>
            </w:pPr>
            <w:r w:rsidRPr="000A18BB">
              <w:rPr>
                <w:rFonts w:ascii="Calibri" w:hAnsi="Calibri"/>
                <w:color w:val="000000"/>
                <w:sz w:val="20"/>
                <w:szCs w:val="20"/>
                <w:lang w:val="de-DE"/>
              </w:rPr>
              <w:t>NOx emission</w:t>
            </w:r>
            <w:r w:rsidR="00932907">
              <w:rPr>
                <w:rFonts w:ascii="Calibri" w:hAnsi="Calibri"/>
                <w:color w:val="000000"/>
                <w:sz w:val="20"/>
                <w:szCs w:val="20"/>
                <w:lang w:val="de-DE"/>
              </w:rPr>
              <w:t>s</w:t>
            </w:r>
            <w:r w:rsidRPr="000A18BB">
              <w:rPr>
                <w:rFonts w:ascii="Calibri" w:hAnsi="Calibri"/>
                <w:color w:val="000000"/>
                <w:sz w:val="20"/>
                <w:szCs w:val="20"/>
                <w:lang w:val="de-DE"/>
              </w:rPr>
              <w:t xml:space="preserve"> diesel coach Euro I</w:t>
            </w:r>
          </w:p>
        </w:tc>
        <w:tc>
          <w:tcPr>
            <w:tcW w:w="1701" w:type="dxa"/>
            <w:vAlign w:val="center"/>
          </w:tcPr>
          <w:p w:rsidR="000A18BB" w:rsidRPr="000A18BB" w:rsidRDefault="000A18BB" w:rsidP="000A18BB">
            <w:pPr>
              <w:jc w:val="center"/>
              <w:rPr>
                <w:rFonts w:ascii="Calibri" w:hAnsi="Calibri"/>
                <w:color w:val="000000"/>
                <w:sz w:val="20"/>
                <w:szCs w:val="20"/>
              </w:rPr>
            </w:pPr>
            <w:r w:rsidRPr="000A18BB">
              <w:rPr>
                <w:rFonts w:ascii="Calibri" w:hAnsi="Calibri"/>
                <w:color w:val="000000"/>
                <w:sz w:val="20"/>
                <w:szCs w:val="20"/>
              </w:rPr>
              <w:t>8.1 g/km</w:t>
            </w:r>
          </w:p>
        </w:tc>
        <w:tc>
          <w:tcPr>
            <w:tcW w:w="3629" w:type="dxa"/>
            <w:vAlign w:val="bottom"/>
          </w:tcPr>
          <w:p w:rsidR="000A18BB" w:rsidRPr="000A18BB" w:rsidRDefault="000A18BB" w:rsidP="000A18BB">
            <w:pPr>
              <w:rPr>
                <w:rFonts w:ascii="Calibri" w:hAnsi="Calibri"/>
                <w:color w:val="000000"/>
                <w:sz w:val="20"/>
                <w:szCs w:val="20"/>
              </w:rPr>
            </w:pPr>
            <w:r w:rsidRPr="000A18BB">
              <w:rPr>
                <w:rFonts w:ascii="Calibri" w:hAnsi="Calibri"/>
                <w:color w:val="000000"/>
                <w:sz w:val="20"/>
                <w:szCs w:val="20"/>
              </w:rPr>
              <w:t>COPERT, table 3-22, Tier 2 app</w:t>
            </w:r>
            <w:r w:rsidR="00932907">
              <w:rPr>
                <w:rFonts w:ascii="Calibri" w:hAnsi="Calibri"/>
                <w:color w:val="000000"/>
                <w:sz w:val="20"/>
                <w:szCs w:val="20"/>
              </w:rPr>
              <w:t>r</w:t>
            </w:r>
            <w:r w:rsidRPr="000A18BB">
              <w:rPr>
                <w:rFonts w:ascii="Calibri" w:hAnsi="Calibri"/>
                <w:color w:val="000000"/>
                <w:sz w:val="20"/>
                <w:szCs w:val="20"/>
              </w:rPr>
              <w:t>oach</w:t>
            </w:r>
          </w:p>
        </w:tc>
      </w:tr>
      <w:tr w:rsidR="000A18BB" w:rsidRPr="00D9541B" w:rsidTr="000A18BB">
        <w:tc>
          <w:tcPr>
            <w:tcW w:w="3676" w:type="dxa"/>
            <w:vAlign w:val="center"/>
          </w:tcPr>
          <w:p w:rsidR="000A18BB" w:rsidRPr="000A18BB" w:rsidRDefault="000A18BB" w:rsidP="000A18BB">
            <w:pPr>
              <w:rPr>
                <w:rFonts w:ascii="Calibri" w:hAnsi="Calibri"/>
                <w:color w:val="000000"/>
                <w:sz w:val="20"/>
                <w:szCs w:val="20"/>
                <w:lang w:val="de-DE"/>
              </w:rPr>
            </w:pPr>
            <w:r w:rsidRPr="000A18BB">
              <w:rPr>
                <w:rFonts w:ascii="Calibri" w:hAnsi="Calibri"/>
                <w:color w:val="000000"/>
                <w:sz w:val="20"/>
                <w:szCs w:val="20"/>
                <w:lang w:val="de-DE"/>
              </w:rPr>
              <w:t>NOx emission</w:t>
            </w:r>
            <w:r w:rsidR="00932907">
              <w:rPr>
                <w:rFonts w:ascii="Calibri" w:hAnsi="Calibri"/>
                <w:color w:val="000000"/>
                <w:sz w:val="20"/>
                <w:szCs w:val="20"/>
                <w:lang w:val="de-DE"/>
              </w:rPr>
              <w:t>s</w:t>
            </w:r>
            <w:r w:rsidRPr="000A18BB">
              <w:rPr>
                <w:rFonts w:ascii="Calibri" w:hAnsi="Calibri"/>
                <w:color w:val="000000"/>
                <w:sz w:val="20"/>
                <w:szCs w:val="20"/>
                <w:lang w:val="de-DE"/>
              </w:rPr>
              <w:t xml:space="preserve"> diesel HDV Euro I</w:t>
            </w:r>
          </w:p>
        </w:tc>
        <w:tc>
          <w:tcPr>
            <w:tcW w:w="1701" w:type="dxa"/>
            <w:vAlign w:val="center"/>
          </w:tcPr>
          <w:p w:rsidR="000A18BB" w:rsidRPr="000A18BB" w:rsidRDefault="000A18BB" w:rsidP="000A18BB">
            <w:pPr>
              <w:jc w:val="center"/>
              <w:rPr>
                <w:rFonts w:ascii="Calibri" w:hAnsi="Calibri"/>
                <w:color w:val="000000"/>
                <w:sz w:val="20"/>
                <w:szCs w:val="20"/>
              </w:rPr>
            </w:pPr>
            <w:r w:rsidRPr="000A18BB">
              <w:rPr>
                <w:rFonts w:ascii="Calibri" w:hAnsi="Calibri"/>
                <w:color w:val="000000"/>
                <w:sz w:val="20"/>
                <w:szCs w:val="20"/>
              </w:rPr>
              <w:t>5.31 g/km</w:t>
            </w:r>
          </w:p>
        </w:tc>
        <w:tc>
          <w:tcPr>
            <w:tcW w:w="3629" w:type="dxa"/>
            <w:vAlign w:val="bottom"/>
          </w:tcPr>
          <w:p w:rsidR="000A18BB" w:rsidRPr="000A18BB" w:rsidRDefault="000A18BB" w:rsidP="000A18BB">
            <w:pPr>
              <w:rPr>
                <w:rFonts w:ascii="Calibri" w:hAnsi="Calibri"/>
                <w:color w:val="000000"/>
                <w:sz w:val="20"/>
                <w:szCs w:val="20"/>
              </w:rPr>
            </w:pPr>
            <w:r w:rsidRPr="000A18BB">
              <w:rPr>
                <w:rFonts w:ascii="Calibri" w:hAnsi="Calibri"/>
                <w:color w:val="000000"/>
                <w:sz w:val="20"/>
                <w:szCs w:val="20"/>
              </w:rPr>
              <w:t>COPERT, table 3-20, Tier 2 app</w:t>
            </w:r>
            <w:r w:rsidR="00932907">
              <w:rPr>
                <w:rFonts w:ascii="Calibri" w:hAnsi="Calibri"/>
                <w:color w:val="000000"/>
                <w:sz w:val="20"/>
                <w:szCs w:val="20"/>
              </w:rPr>
              <w:t>r</w:t>
            </w:r>
            <w:r w:rsidRPr="000A18BB">
              <w:rPr>
                <w:rFonts w:ascii="Calibri" w:hAnsi="Calibri"/>
                <w:color w:val="000000"/>
                <w:sz w:val="20"/>
                <w:szCs w:val="20"/>
              </w:rPr>
              <w:t>oach</w:t>
            </w:r>
          </w:p>
        </w:tc>
      </w:tr>
      <w:tr w:rsidR="000A18BB" w:rsidRPr="00D9541B" w:rsidTr="000A18BB">
        <w:tc>
          <w:tcPr>
            <w:tcW w:w="3676" w:type="dxa"/>
            <w:vAlign w:val="center"/>
          </w:tcPr>
          <w:p w:rsidR="000A18BB" w:rsidRPr="000A18BB" w:rsidRDefault="00932907" w:rsidP="000A18BB">
            <w:pPr>
              <w:rPr>
                <w:rFonts w:ascii="Calibri" w:hAnsi="Calibri"/>
                <w:color w:val="000000"/>
                <w:sz w:val="20"/>
                <w:szCs w:val="20"/>
                <w:lang w:val="de-DE"/>
              </w:rPr>
            </w:pPr>
            <w:r>
              <w:rPr>
                <w:rFonts w:ascii="Calibri" w:hAnsi="Calibri"/>
                <w:color w:val="000000"/>
                <w:sz w:val="20"/>
                <w:szCs w:val="20"/>
                <w:lang w:val="de-DE"/>
              </w:rPr>
              <w:t>PM</w:t>
            </w:r>
            <w:r w:rsidR="000A18BB" w:rsidRPr="000A18BB">
              <w:rPr>
                <w:rFonts w:ascii="Calibri" w:hAnsi="Calibri"/>
                <w:color w:val="000000"/>
                <w:sz w:val="20"/>
                <w:szCs w:val="20"/>
                <w:lang w:val="de-DE"/>
              </w:rPr>
              <w:t>2.5 emission</w:t>
            </w:r>
            <w:r>
              <w:rPr>
                <w:rFonts w:ascii="Calibri" w:hAnsi="Calibri"/>
                <w:color w:val="000000"/>
                <w:sz w:val="20"/>
                <w:szCs w:val="20"/>
                <w:lang w:val="de-DE"/>
              </w:rPr>
              <w:t>s</w:t>
            </w:r>
            <w:r w:rsidR="000A18BB" w:rsidRPr="000A18BB">
              <w:rPr>
                <w:rFonts w:ascii="Calibri" w:hAnsi="Calibri"/>
                <w:color w:val="000000"/>
                <w:sz w:val="20"/>
                <w:szCs w:val="20"/>
                <w:lang w:val="de-DE"/>
              </w:rPr>
              <w:t xml:space="preserve"> diesel HDV 7.5-16t Euro I</w:t>
            </w:r>
          </w:p>
        </w:tc>
        <w:tc>
          <w:tcPr>
            <w:tcW w:w="1701" w:type="dxa"/>
            <w:vAlign w:val="center"/>
          </w:tcPr>
          <w:p w:rsidR="000A18BB" w:rsidRPr="000A18BB" w:rsidRDefault="000A18BB" w:rsidP="000A18BB">
            <w:pPr>
              <w:jc w:val="center"/>
              <w:rPr>
                <w:rFonts w:ascii="Calibri" w:hAnsi="Calibri"/>
                <w:color w:val="000000"/>
                <w:sz w:val="20"/>
                <w:szCs w:val="20"/>
              </w:rPr>
            </w:pPr>
            <w:r w:rsidRPr="000A18BB">
              <w:rPr>
                <w:rFonts w:ascii="Calibri" w:hAnsi="Calibri"/>
                <w:color w:val="000000"/>
                <w:sz w:val="20"/>
                <w:szCs w:val="20"/>
              </w:rPr>
              <w:t>0.201 g/km</w:t>
            </w:r>
          </w:p>
        </w:tc>
        <w:tc>
          <w:tcPr>
            <w:tcW w:w="3629" w:type="dxa"/>
            <w:vAlign w:val="bottom"/>
          </w:tcPr>
          <w:p w:rsidR="000A18BB" w:rsidRPr="000A18BB" w:rsidRDefault="000A18BB" w:rsidP="000A18BB">
            <w:pPr>
              <w:rPr>
                <w:rFonts w:ascii="Calibri" w:hAnsi="Calibri"/>
                <w:color w:val="000000"/>
                <w:sz w:val="20"/>
                <w:szCs w:val="20"/>
              </w:rPr>
            </w:pPr>
            <w:r w:rsidRPr="000A18BB">
              <w:rPr>
                <w:rFonts w:ascii="Calibri" w:hAnsi="Calibri"/>
                <w:color w:val="000000"/>
                <w:sz w:val="20"/>
                <w:szCs w:val="20"/>
              </w:rPr>
              <w:t>COPERT, table 3-21, Tier 2 approach</w:t>
            </w:r>
          </w:p>
        </w:tc>
      </w:tr>
      <w:tr w:rsidR="000A18BB" w:rsidRPr="00D9541B" w:rsidTr="000A18BB">
        <w:tc>
          <w:tcPr>
            <w:tcW w:w="3676" w:type="dxa"/>
          </w:tcPr>
          <w:p w:rsidR="000A18BB" w:rsidRPr="000A18BB" w:rsidRDefault="000A18BB" w:rsidP="007F0E9B">
            <w:pPr>
              <w:pStyle w:val="NoSpacing"/>
              <w:rPr>
                <w:sz w:val="20"/>
                <w:szCs w:val="20"/>
              </w:rPr>
            </w:pPr>
            <w:r w:rsidRPr="000A18BB">
              <w:rPr>
                <w:sz w:val="20"/>
                <w:szCs w:val="20"/>
              </w:rPr>
              <w:t>Pollution cost NO</w:t>
            </w:r>
            <w:r w:rsidRPr="000A18BB">
              <w:rPr>
                <w:sz w:val="20"/>
                <w:szCs w:val="20"/>
                <w:vertAlign w:val="subscript"/>
              </w:rPr>
              <w:t>x</w:t>
            </w:r>
          </w:p>
        </w:tc>
        <w:tc>
          <w:tcPr>
            <w:tcW w:w="1701" w:type="dxa"/>
          </w:tcPr>
          <w:p w:rsidR="000A18BB" w:rsidRPr="000A18BB" w:rsidRDefault="000A18BB" w:rsidP="007F0E9B">
            <w:pPr>
              <w:pStyle w:val="NoSpacing"/>
              <w:jc w:val="center"/>
              <w:rPr>
                <w:sz w:val="20"/>
                <w:szCs w:val="20"/>
              </w:rPr>
            </w:pPr>
            <w:r w:rsidRPr="000A18BB">
              <w:rPr>
                <w:sz w:val="20"/>
                <w:szCs w:val="20"/>
              </w:rPr>
              <w:t>370 USD/t</w:t>
            </w:r>
          </w:p>
        </w:tc>
        <w:tc>
          <w:tcPr>
            <w:tcW w:w="3629" w:type="dxa"/>
            <w:vMerge w:val="restart"/>
            <w:vAlign w:val="center"/>
          </w:tcPr>
          <w:p w:rsidR="000A18BB" w:rsidRPr="000A18BB" w:rsidRDefault="000A18BB" w:rsidP="007F0E9B">
            <w:pPr>
              <w:pStyle w:val="NoSpacing"/>
              <w:rPr>
                <w:sz w:val="20"/>
                <w:szCs w:val="20"/>
              </w:rPr>
            </w:pPr>
            <w:r w:rsidRPr="000A18BB">
              <w:rPr>
                <w:sz w:val="20"/>
                <w:szCs w:val="20"/>
              </w:rPr>
              <w:t>IMF, 2013 for Bangladesh USD of 2015</w:t>
            </w:r>
            <w:r w:rsidRPr="000A18BB">
              <w:rPr>
                <w:rStyle w:val="FootnoteReference"/>
                <w:sz w:val="20"/>
                <w:szCs w:val="20"/>
              </w:rPr>
              <w:footnoteReference w:id="62"/>
            </w:r>
          </w:p>
        </w:tc>
      </w:tr>
      <w:tr w:rsidR="000A18BB" w:rsidRPr="00D9541B" w:rsidTr="000A18BB">
        <w:tc>
          <w:tcPr>
            <w:tcW w:w="3676" w:type="dxa"/>
          </w:tcPr>
          <w:p w:rsidR="000A18BB" w:rsidRPr="00D9541B" w:rsidRDefault="000A18BB" w:rsidP="007F0E9B">
            <w:pPr>
              <w:pStyle w:val="NoSpacing"/>
              <w:rPr>
                <w:sz w:val="20"/>
              </w:rPr>
            </w:pPr>
            <w:r>
              <w:rPr>
                <w:sz w:val="20"/>
              </w:rPr>
              <w:t>Pollution cost PM</w:t>
            </w:r>
          </w:p>
        </w:tc>
        <w:tc>
          <w:tcPr>
            <w:tcW w:w="1701" w:type="dxa"/>
          </w:tcPr>
          <w:p w:rsidR="000A18BB" w:rsidRPr="00D9541B" w:rsidRDefault="000A18BB" w:rsidP="007F0E9B">
            <w:pPr>
              <w:pStyle w:val="NoSpacing"/>
              <w:jc w:val="center"/>
              <w:rPr>
                <w:sz w:val="20"/>
              </w:rPr>
            </w:pPr>
            <w:r>
              <w:rPr>
                <w:sz w:val="20"/>
              </w:rPr>
              <w:t>51,900 USD/t</w:t>
            </w:r>
          </w:p>
        </w:tc>
        <w:tc>
          <w:tcPr>
            <w:tcW w:w="3629" w:type="dxa"/>
            <w:vMerge/>
            <w:vAlign w:val="center"/>
          </w:tcPr>
          <w:p w:rsidR="000A18BB" w:rsidRPr="00D9541B" w:rsidRDefault="000A18BB" w:rsidP="007F0E9B">
            <w:pPr>
              <w:pStyle w:val="NoSpacing"/>
              <w:rPr>
                <w:sz w:val="20"/>
              </w:rPr>
            </w:pPr>
          </w:p>
        </w:tc>
      </w:tr>
    </w:tbl>
    <w:p w:rsidR="000A18BB" w:rsidRDefault="000A18BB" w:rsidP="000A18BB">
      <w:pPr>
        <w:pStyle w:val="NoSpacing"/>
      </w:pPr>
    </w:p>
    <w:p w:rsidR="00C57D42" w:rsidRDefault="000A18BB" w:rsidP="000A18BB">
      <w:pPr>
        <w:jc w:val="both"/>
      </w:pPr>
      <w:r>
        <w:t>The NAMA can reduce 20,000 tons of NO</w:t>
      </w:r>
      <w:r w:rsidRPr="000A18BB">
        <w:rPr>
          <w:vertAlign w:val="subscript"/>
        </w:rPr>
        <w:t>x</w:t>
      </w:r>
      <w:r>
        <w:t xml:space="preserve"> and 850 tons of PM2.5 over the period 2017-2030 (for 2030 2,900 tons of NO</w:t>
      </w:r>
      <w:r w:rsidRPr="000A18BB">
        <w:rPr>
          <w:vertAlign w:val="subscript"/>
        </w:rPr>
        <w:t>x</w:t>
      </w:r>
      <w:r>
        <w:t xml:space="preserve"> and 130 tons of PM2.5 are avoided) and reduce air pollution costs by a cumulative 51 MUSD or on average 4 MUSD per annum. For more details, see Annex 1.</w:t>
      </w:r>
    </w:p>
    <w:p w:rsidR="00C57D42" w:rsidRDefault="00187E68" w:rsidP="00187E68">
      <w:pPr>
        <w:pStyle w:val="Heading2"/>
        <w:ind w:firstLine="720"/>
      </w:pPr>
      <w:bookmarkStart w:id="30" w:name="_Toc466207356"/>
      <w:r>
        <w:t xml:space="preserve">7.5. </w:t>
      </w:r>
      <w:r w:rsidR="00C57D42">
        <w:t>Summary SD Impacts</w:t>
      </w:r>
      <w:bookmarkEnd w:id="30"/>
    </w:p>
    <w:p w:rsidR="00C57D42" w:rsidRPr="00C57D42" w:rsidRDefault="00C57D42" w:rsidP="00C57D42"/>
    <w:p w:rsidR="00850B34" w:rsidRDefault="00850B34" w:rsidP="00850B34">
      <w:pPr>
        <w:jc w:val="both"/>
      </w:pPr>
      <w:r>
        <w:t>The following table shows the projected cumulative SD impact for the NAMA</w:t>
      </w:r>
      <w:r w:rsidR="00F44481">
        <w:t xml:space="preserve"> for 2017</w:t>
      </w:r>
      <w:r>
        <w:t>-2030 using constant fuel prices and damage costs.</w:t>
      </w:r>
    </w:p>
    <w:p w:rsidR="00850B34" w:rsidRPr="00187E68" w:rsidRDefault="00187E68" w:rsidP="00187E68">
      <w:pPr>
        <w:pStyle w:val="NoSpacing"/>
        <w:rPr>
          <w:b/>
          <w:sz w:val="14"/>
        </w:rPr>
      </w:pPr>
      <w:r w:rsidRPr="00187E68">
        <w:rPr>
          <w:b/>
          <w:sz w:val="20"/>
        </w:rPr>
        <w:t xml:space="preserve">Table </w:t>
      </w:r>
      <w:r w:rsidRPr="00187E68">
        <w:rPr>
          <w:b/>
          <w:sz w:val="20"/>
        </w:rPr>
        <w:fldChar w:fldCharType="begin"/>
      </w:r>
      <w:r w:rsidRPr="00187E68">
        <w:rPr>
          <w:b/>
          <w:sz w:val="20"/>
        </w:rPr>
        <w:instrText xml:space="preserve"> SEQ Table \* ARABIC </w:instrText>
      </w:r>
      <w:r w:rsidRPr="00187E68">
        <w:rPr>
          <w:b/>
          <w:sz w:val="20"/>
        </w:rPr>
        <w:fldChar w:fldCharType="separate"/>
      </w:r>
      <w:r w:rsidR="00AC6EDE">
        <w:rPr>
          <w:b/>
          <w:noProof/>
          <w:sz w:val="20"/>
        </w:rPr>
        <w:t>11</w:t>
      </w:r>
      <w:r w:rsidRPr="00187E68">
        <w:rPr>
          <w:b/>
          <w:sz w:val="20"/>
        </w:rPr>
        <w:fldChar w:fldCharType="end"/>
      </w:r>
      <w:r w:rsidR="00850B34" w:rsidRPr="00187E68">
        <w:rPr>
          <w:b/>
          <w:sz w:val="20"/>
        </w:rPr>
        <w:t xml:space="preserve">: Projected Cumulative Sustainable Development Impact </w:t>
      </w:r>
      <w:r w:rsidR="00F44481" w:rsidRPr="00187E68">
        <w:rPr>
          <w:b/>
          <w:sz w:val="20"/>
        </w:rPr>
        <w:t>Period 2017</w:t>
      </w:r>
      <w:r w:rsidR="00850B34" w:rsidRPr="00187E68">
        <w:rPr>
          <w:b/>
          <w:sz w:val="20"/>
        </w:rPr>
        <w:t>-2030 (USD of 2015)</w:t>
      </w:r>
    </w:p>
    <w:tbl>
      <w:tblPr>
        <w:tblW w:w="0" w:type="auto"/>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firstRow="1" w:lastRow="0" w:firstColumn="1" w:lastColumn="0" w:noHBand="0" w:noVBand="1"/>
      </w:tblPr>
      <w:tblGrid>
        <w:gridCol w:w="4096"/>
        <w:gridCol w:w="2410"/>
      </w:tblGrid>
      <w:tr w:rsidR="00F44481" w:rsidRPr="004B02E5" w:rsidTr="00B37D5D">
        <w:tc>
          <w:tcPr>
            <w:tcW w:w="4096" w:type="dxa"/>
            <w:shd w:val="clear" w:color="auto" w:fill="C6D9F1"/>
            <w:hideMark/>
          </w:tcPr>
          <w:p w:rsidR="00F44481" w:rsidRPr="004B02E5" w:rsidRDefault="00F44481" w:rsidP="00D57584">
            <w:pPr>
              <w:pStyle w:val="NoSpacing"/>
              <w:rPr>
                <w:b/>
                <w:sz w:val="20"/>
              </w:rPr>
            </w:pPr>
            <w:r w:rsidRPr="004B02E5">
              <w:rPr>
                <w:b/>
                <w:sz w:val="20"/>
              </w:rPr>
              <w:t>Parameter</w:t>
            </w:r>
          </w:p>
        </w:tc>
        <w:tc>
          <w:tcPr>
            <w:tcW w:w="2410" w:type="dxa"/>
            <w:shd w:val="clear" w:color="auto" w:fill="C6D9F1"/>
            <w:hideMark/>
          </w:tcPr>
          <w:p w:rsidR="00F44481" w:rsidRPr="004B02E5" w:rsidRDefault="00F44481" w:rsidP="00D57584">
            <w:pPr>
              <w:pStyle w:val="NoSpacing"/>
              <w:jc w:val="center"/>
              <w:rPr>
                <w:b/>
                <w:sz w:val="20"/>
              </w:rPr>
            </w:pPr>
            <w:r>
              <w:rPr>
                <w:b/>
                <w:sz w:val="20"/>
              </w:rPr>
              <w:t xml:space="preserve">Impact </w:t>
            </w:r>
          </w:p>
        </w:tc>
      </w:tr>
      <w:tr w:rsidR="00B37D5D" w:rsidRPr="004B02E5" w:rsidTr="00B37D5D">
        <w:tc>
          <w:tcPr>
            <w:tcW w:w="4096" w:type="dxa"/>
            <w:shd w:val="clear" w:color="auto" w:fill="auto"/>
            <w:hideMark/>
          </w:tcPr>
          <w:p w:rsidR="00B37D5D" w:rsidRPr="004B02E5" w:rsidRDefault="00B37D5D" w:rsidP="00B37D5D">
            <w:pPr>
              <w:pStyle w:val="NoSpacing"/>
              <w:rPr>
                <w:sz w:val="20"/>
                <w:lang w:val="de-DE"/>
              </w:rPr>
            </w:pPr>
            <w:r w:rsidRPr="004B02E5">
              <w:rPr>
                <w:sz w:val="20"/>
                <w:lang w:val="de-DE"/>
              </w:rPr>
              <w:t>Diesel fuel savings</w:t>
            </w:r>
          </w:p>
        </w:tc>
        <w:tc>
          <w:tcPr>
            <w:tcW w:w="2410" w:type="dxa"/>
            <w:shd w:val="clear" w:color="auto" w:fill="auto"/>
            <w:vAlign w:val="center"/>
          </w:tcPr>
          <w:p w:rsidR="00B37D5D" w:rsidRPr="00B37D5D" w:rsidRDefault="00B37D5D" w:rsidP="00B37D5D">
            <w:pPr>
              <w:pStyle w:val="NoSpacing"/>
              <w:jc w:val="center"/>
              <w:rPr>
                <w:sz w:val="20"/>
              </w:rPr>
            </w:pPr>
            <w:r w:rsidRPr="00B37D5D">
              <w:rPr>
                <w:sz w:val="20"/>
                <w:lang w:val="de-DE"/>
              </w:rPr>
              <w:t>753</w:t>
            </w:r>
            <w:r w:rsidR="00932907">
              <w:rPr>
                <w:sz w:val="20"/>
                <w:lang w:val="de-DE"/>
              </w:rPr>
              <w:t xml:space="preserve"> million litre</w:t>
            </w:r>
            <w:r>
              <w:rPr>
                <w:sz w:val="20"/>
                <w:lang w:val="de-DE"/>
              </w:rPr>
              <w:t>s</w:t>
            </w:r>
          </w:p>
        </w:tc>
      </w:tr>
      <w:tr w:rsidR="00B37D5D" w:rsidRPr="004B02E5" w:rsidTr="00B37D5D">
        <w:tc>
          <w:tcPr>
            <w:tcW w:w="4096" w:type="dxa"/>
            <w:shd w:val="clear" w:color="auto" w:fill="auto"/>
          </w:tcPr>
          <w:p w:rsidR="00B37D5D" w:rsidRPr="004B02E5" w:rsidRDefault="00B37D5D" w:rsidP="00B37D5D">
            <w:pPr>
              <w:pStyle w:val="NoSpacing"/>
              <w:rPr>
                <w:sz w:val="20"/>
              </w:rPr>
            </w:pPr>
            <w:r>
              <w:rPr>
                <w:sz w:val="20"/>
              </w:rPr>
              <w:t>Reduction of traffic accident fatalities</w:t>
            </w:r>
          </w:p>
        </w:tc>
        <w:tc>
          <w:tcPr>
            <w:tcW w:w="2410" w:type="dxa"/>
            <w:shd w:val="clear" w:color="auto" w:fill="auto"/>
            <w:vAlign w:val="center"/>
          </w:tcPr>
          <w:p w:rsidR="00B37D5D" w:rsidRPr="00B37D5D" w:rsidRDefault="001A7E26" w:rsidP="00B37D5D">
            <w:pPr>
              <w:pStyle w:val="NoSpacing"/>
              <w:jc w:val="center"/>
              <w:rPr>
                <w:sz w:val="20"/>
              </w:rPr>
            </w:pPr>
            <w:r>
              <w:rPr>
                <w:sz w:val="20"/>
              </w:rPr>
              <w:t>23</w:t>
            </w:r>
            <w:r w:rsidR="00B37D5D" w:rsidRPr="00B37D5D">
              <w:rPr>
                <w:sz w:val="20"/>
              </w:rPr>
              <w:t>5</w:t>
            </w:r>
            <w:r w:rsidR="00B37D5D">
              <w:rPr>
                <w:sz w:val="20"/>
              </w:rPr>
              <w:t xml:space="preserve"> persons</w:t>
            </w:r>
          </w:p>
        </w:tc>
      </w:tr>
      <w:tr w:rsidR="00B37D5D" w:rsidRPr="004B02E5" w:rsidTr="00B37D5D">
        <w:tc>
          <w:tcPr>
            <w:tcW w:w="4096" w:type="dxa"/>
            <w:shd w:val="clear" w:color="auto" w:fill="auto"/>
            <w:hideMark/>
          </w:tcPr>
          <w:p w:rsidR="00B37D5D" w:rsidRPr="004B02E5" w:rsidRDefault="00B37D5D" w:rsidP="00B37D5D">
            <w:pPr>
              <w:pStyle w:val="NoSpacing"/>
              <w:rPr>
                <w:sz w:val="20"/>
              </w:rPr>
            </w:pPr>
            <w:r w:rsidRPr="004B02E5">
              <w:rPr>
                <w:sz w:val="20"/>
              </w:rPr>
              <w:t xml:space="preserve">PM reduction </w:t>
            </w:r>
          </w:p>
        </w:tc>
        <w:tc>
          <w:tcPr>
            <w:tcW w:w="2410" w:type="dxa"/>
            <w:shd w:val="clear" w:color="auto" w:fill="auto"/>
            <w:vAlign w:val="center"/>
          </w:tcPr>
          <w:p w:rsidR="00B37D5D" w:rsidRPr="00B37D5D" w:rsidRDefault="00B37D5D" w:rsidP="00B37D5D">
            <w:pPr>
              <w:pStyle w:val="NoSpacing"/>
              <w:jc w:val="center"/>
              <w:rPr>
                <w:sz w:val="20"/>
              </w:rPr>
            </w:pPr>
            <w:r w:rsidRPr="00B37D5D">
              <w:rPr>
                <w:sz w:val="20"/>
              </w:rPr>
              <w:t>848</w:t>
            </w:r>
            <w:r>
              <w:rPr>
                <w:sz w:val="20"/>
              </w:rPr>
              <w:t xml:space="preserve"> tons</w:t>
            </w:r>
          </w:p>
        </w:tc>
      </w:tr>
      <w:tr w:rsidR="00B37D5D" w:rsidRPr="004B02E5" w:rsidTr="00B37D5D">
        <w:tc>
          <w:tcPr>
            <w:tcW w:w="4096" w:type="dxa"/>
            <w:shd w:val="clear" w:color="auto" w:fill="auto"/>
            <w:hideMark/>
          </w:tcPr>
          <w:p w:rsidR="00B37D5D" w:rsidRPr="004B02E5" w:rsidRDefault="00B37D5D" w:rsidP="00B37D5D">
            <w:pPr>
              <w:pStyle w:val="NoSpacing"/>
              <w:rPr>
                <w:sz w:val="20"/>
              </w:rPr>
            </w:pPr>
            <w:r w:rsidRPr="004B02E5">
              <w:rPr>
                <w:sz w:val="20"/>
              </w:rPr>
              <w:lastRenderedPageBreak/>
              <w:t>NO</w:t>
            </w:r>
            <w:r w:rsidRPr="004B02E5">
              <w:rPr>
                <w:sz w:val="20"/>
                <w:vertAlign w:val="subscript"/>
              </w:rPr>
              <w:t>x</w:t>
            </w:r>
            <w:r w:rsidRPr="004B02E5">
              <w:rPr>
                <w:sz w:val="20"/>
              </w:rPr>
              <w:t xml:space="preserve"> reduction</w:t>
            </w:r>
          </w:p>
        </w:tc>
        <w:tc>
          <w:tcPr>
            <w:tcW w:w="2410" w:type="dxa"/>
            <w:shd w:val="clear" w:color="auto" w:fill="auto"/>
            <w:vAlign w:val="center"/>
          </w:tcPr>
          <w:p w:rsidR="00B37D5D" w:rsidRPr="00B37D5D" w:rsidRDefault="00B37D5D" w:rsidP="00B37D5D">
            <w:pPr>
              <w:pStyle w:val="NoSpacing"/>
              <w:jc w:val="center"/>
              <w:rPr>
                <w:sz w:val="20"/>
              </w:rPr>
            </w:pPr>
            <w:r w:rsidRPr="00B37D5D">
              <w:rPr>
                <w:sz w:val="20"/>
              </w:rPr>
              <w:t>19,527</w:t>
            </w:r>
            <w:r>
              <w:rPr>
                <w:sz w:val="20"/>
              </w:rPr>
              <w:t xml:space="preserve"> tons</w:t>
            </w:r>
          </w:p>
        </w:tc>
      </w:tr>
      <w:tr w:rsidR="00B37D5D" w:rsidRPr="004B02E5" w:rsidTr="00B37D5D">
        <w:tc>
          <w:tcPr>
            <w:tcW w:w="4096" w:type="dxa"/>
            <w:shd w:val="clear" w:color="auto" w:fill="auto"/>
          </w:tcPr>
          <w:p w:rsidR="00B37D5D" w:rsidRPr="004B02E5" w:rsidRDefault="00B37D5D" w:rsidP="00B37D5D">
            <w:pPr>
              <w:pStyle w:val="NoSpacing"/>
              <w:rPr>
                <w:sz w:val="20"/>
              </w:rPr>
            </w:pPr>
            <w:r w:rsidRPr="004B02E5">
              <w:rPr>
                <w:sz w:val="20"/>
              </w:rPr>
              <w:t xml:space="preserve">Monetary value of </w:t>
            </w:r>
            <w:r>
              <w:rPr>
                <w:sz w:val="20"/>
              </w:rPr>
              <w:t>fuel savings</w:t>
            </w:r>
          </w:p>
        </w:tc>
        <w:tc>
          <w:tcPr>
            <w:tcW w:w="2410" w:type="dxa"/>
            <w:shd w:val="clear" w:color="auto" w:fill="auto"/>
            <w:vAlign w:val="center"/>
          </w:tcPr>
          <w:p w:rsidR="00B37D5D" w:rsidRPr="00B37D5D" w:rsidRDefault="00B37D5D" w:rsidP="00B37D5D">
            <w:pPr>
              <w:pStyle w:val="NoSpacing"/>
              <w:jc w:val="center"/>
              <w:rPr>
                <w:sz w:val="20"/>
              </w:rPr>
            </w:pPr>
            <w:r w:rsidRPr="00B37D5D">
              <w:rPr>
                <w:sz w:val="20"/>
              </w:rPr>
              <w:t>361</w:t>
            </w:r>
            <w:r>
              <w:rPr>
                <w:sz w:val="20"/>
              </w:rPr>
              <w:t xml:space="preserve"> million USD of 2015</w:t>
            </w:r>
          </w:p>
        </w:tc>
      </w:tr>
      <w:tr w:rsidR="00B37D5D" w:rsidRPr="004B02E5" w:rsidTr="00B37D5D">
        <w:tc>
          <w:tcPr>
            <w:tcW w:w="4096" w:type="dxa"/>
            <w:shd w:val="clear" w:color="auto" w:fill="auto"/>
          </w:tcPr>
          <w:p w:rsidR="00B37D5D" w:rsidRPr="004B02E5" w:rsidRDefault="00B37D5D" w:rsidP="00B37D5D">
            <w:pPr>
              <w:pStyle w:val="NoSpacing"/>
              <w:rPr>
                <w:sz w:val="20"/>
              </w:rPr>
            </w:pPr>
            <w:r w:rsidRPr="004B02E5">
              <w:rPr>
                <w:sz w:val="20"/>
              </w:rPr>
              <w:t xml:space="preserve">Monetary value of </w:t>
            </w:r>
            <w:r>
              <w:rPr>
                <w:sz w:val="20"/>
              </w:rPr>
              <w:t>reduced accidents</w:t>
            </w:r>
          </w:p>
        </w:tc>
        <w:tc>
          <w:tcPr>
            <w:tcW w:w="2410" w:type="dxa"/>
            <w:shd w:val="clear" w:color="auto" w:fill="auto"/>
            <w:vAlign w:val="center"/>
          </w:tcPr>
          <w:p w:rsidR="00B37D5D" w:rsidRPr="00B37D5D" w:rsidRDefault="00B37D5D" w:rsidP="00B37D5D">
            <w:pPr>
              <w:pStyle w:val="NoSpacing"/>
              <w:jc w:val="center"/>
              <w:rPr>
                <w:sz w:val="20"/>
              </w:rPr>
            </w:pPr>
            <w:r w:rsidRPr="00B37D5D">
              <w:rPr>
                <w:sz w:val="20"/>
              </w:rPr>
              <w:t>98</w:t>
            </w:r>
            <w:r>
              <w:rPr>
                <w:sz w:val="20"/>
              </w:rPr>
              <w:t xml:space="preserve"> million USD of 2015</w:t>
            </w:r>
          </w:p>
        </w:tc>
      </w:tr>
      <w:tr w:rsidR="00B37D5D" w:rsidRPr="004B02E5" w:rsidTr="00B37D5D">
        <w:tc>
          <w:tcPr>
            <w:tcW w:w="4096" w:type="dxa"/>
            <w:shd w:val="clear" w:color="auto" w:fill="auto"/>
          </w:tcPr>
          <w:p w:rsidR="00B37D5D" w:rsidRPr="004B02E5" w:rsidRDefault="00B37D5D" w:rsidP="00B37D5D">
            <w:pPr>
              <w:pStyle w:val="NoSpacing"/>
              <w:rPr>
                <w:sz w:val="20"/>
              </w:rPr>
            </w:pPr>
            <w:r w:rsidRPr="004B02E5">
              <w:rPr>
                <w:sz w:val="20"/>
              </w:rPr>
              <w:t xml:space="preserve">Monetary value of </w:t>
            </w:r>
            <w:r>
              <w:rPr>
                <w:sz w:val="20"/>
              </w:rPr>
              <w:t>reduced air pollution</w:t>
            </w:r>
          </w:p>
        </w:tc>
        <w:tc>
          <w:tcPr>
            <w:tcW w:w="2410" w:type="dxa"/>
            <w:shd w:val="clear" w:color="auto" w:fill="auto"/>
            <w:vAlign w:val="center"/>
          </w:tcPr>
          <w:p w:rsidR="00B37D5D" w:rsidRPr="00B37D5D" w:rsidRDefault="00B37D5D" w:rsidP="00B37D5D">
            <w:pPr>
              <w:pStyle w:val="NoSpacing"/>
              <w:jc w:val="center"/>
              <w:rPr>
                <w:sz w:val="20"/>
              </w:rPr>
            </w:pPr>
            <w:r w:rsidRPr="00B37D5D">
              <w:rPr>
                <w:sz w:val="20"/>
              </w:rPr>
              <w:t>51</w:t>
            </w:r>
            <w:r>
              <w:rPr>
                <w:sz w:val="20"/>
              </w:rPr>
              <w:t xml:space="preserve"> million USD of 2015</w:t>
            </w:r>
          </w:p>
        </w:tc>
      </w:tr>
      <w:tr w:rsidR="00B37D5D" w:rsidRPr="004B02E5" w:rsidTr="00B37D5D">
        <w:tc>
          <w:tcPr>
            <w:tcW w:w="4096" w:type="dxa"/>
            <w:shd w:val="clear" w:color="auto" w:fill="auto"/>
          </w:tcPr>
          <w:p w:rsidR="00B37D5D" w:rsidRPr="004B02E5" w:rsidRDefault="00B37D5D" w:rsidP="00B37D5D">
            <w:pPr>
              <w:pStyle w:val="NoSpacing"/>
              <w:rPr>
                <w:sz w:val="20"/>
              </w:rPr>
            </w:pPr>
            <w:r w:rsidRPr="004B02E5">
              <w:rPr>
                <w:sz w:val="20"/>
              </w:rPr>
              <w:t xml:space="preserve">Monetary value </w:t>
            </w:r>
            <w:r>
              <w:rPr>
                <w:sz w:val="20"/>
              </w:rPr>
              <w:t>total</w:t>
            </w:r>
          </w:p>
        </w:tc>
        <w:tc>
          <w:tcPr>
            <w:tcW w:w="2410" w:type="dxa"/>
            <w:shd w:val="clear" w:color="auto" w:fill="auto"/>
            <w:vAlign w:val="center"/>
          </w:tcPr>
          <w:p w:rsidR="00B37D5D" w:rsidRPr="00B37D5D" w:rsidRDefault="00B37D5D" w:rsidP="00B37D5D">
            <w:pPr>
              <w:pStyle w:val="NoSpacing"/>
              <w:jc w:val="center"/>
              <w:rPr>
                <w:sz w:val="20"/>
              </w:rPr>
            </w:pPr>
            <w:r w:rsidRPr="00B37D5D">
              <w:rPr>
                <w:sz w:val="20"/>
              </w:rPr>
              <w:t>511</w:t>
            </w:r>
            <w:r>
              <w:rPr>
                <w:sz w:val="20"/>
              </w:rPr>
              <w:t xml:space="preserve"> million USD of 2015</w:t>
            </w:r>
          </w:p>
        </w:tc>
      </w:tr>
    </w:tbl>
    <w:p w:rsidR="00850B34" w:rsidRDefault="00850B34" w:rsidP="00850B34">
      <w:pPr>
        <w:rPr>
          <w:sz w:val="20"/>
        </w:rPr>
      </w:pPr>
      <w:r>
        <w:rPr>
          <w:sz w:val="20"/>
        </w:rPr>
        <w:t xml:space="preserve">Source: </w:t>
      </w:r>
      <w:r w:rsidR="00C14C7F">
        <w:rPr>
          <w:sz w:val="20"/>
        </w:rPr>
        <w:t>Grütter</w:t>
      </w:r>
      <w:r w:rsidR="00B37D5D">
        <w:rPr>
          <w:sz w:val="20"/>
        </w:rPr>
        <w:t xml:space="preserve"> Consulting</w:t>
      </w:r>
    </w:p>
    <w:p w:rsidR="00850B34" w:rsidRDefault="00B37D5D" w:rsidP="005A185D">
      <w:pPr>
        <w:jc w:val="both"/>
      </w:pPr>
      <w:r>
        <w:t>The cumulative SD impact in monetary terms is around 0.5 billion USD. In annual terms in 2030 the impact is 75 million USD savings.</w:t>
      </w:r>
      <w:r w:rsidR="005A185D">
        <w:t xml:space="preserve"> The NAMA has thus a significant impact on the well-being and the sustainable development of Bangladesh.</w:t>
      </w:r>
    </w:p>
    <w:p w:rsidR="00AE23C4" w:rsidRDefault="00187E68" w:rsidP="00187E68">
      <w:pPr>
        <w:pStyle w:val="Heading1"/>
        <w:ind w:firstLine="720"/>
      </w:pPr>
      <w:r>
        <w:br w:type="column"/>
      </w:r>
      <w:bookmarkStart w:id="31" w:name="_Toc466207357"/>
      <w:r>
        <w:lastRenderedPageBreak/>
        <w:t xml:space="preserve">8. </w:t>
      </w:r>
      <w:r w:rsidR="00AE23C4">
        <w:t>Finance</w:t>
      </w:r>
      <w:bookmarkEnd w:id="31"/>
    </w:p>
    <w:p w:rsidR="00AE23C4" w:rsidRDefault="00AE23C4" w:rsidP="00AE23C4"/>
    <w:p w:rsidR="00C838B1" w:rsidRDefault="00C838B1" w:rsidP="00583759">
      <w:pPr>
        <w:jc w:val="both"/>
      </w:pPr>
      <w:r>
        <w:t>The rail Master Plan on which the activities and the NAMA is structured consists of 235 projects costing USD 30 billion in the period 2010 to 2030</w:t>
      </w:r>
      <w:r w:rsidR="004552A8">
        <w:t>. Phase I until 2015 thereby had an investment volume of 16.41 billion USD</w:t>
      </w:r>
      <w:r w:rsidR="00B44DD3">
        <w:t xml:space="preserve">. </w:t>
      </w:r>
      <w:r>
        <w:t>The following table lists projected investment costs and the potential funding source for Phases II to IV from 2015/16 to 2030.</w:t>
      </w:r>
    </w:p>
    <w:p w:rsidR="00C838B1" w:rsidRPr="00187E68" w:rsidRDefault="00187E68" w:rsidP="00187E68">
      <w:pPr>
        <w:pStyle w:val="NoSpacing"/>
        <w:rPr>
          <w:b/>
          <w:sz w:val="20"/>
          <w:szCs w:val="20"/>
        </w:rPr>
      </w:pPr>
      <w:r w:rsidRPr="00187E68">
        <w:rPr>
          <w:b/>
          <w:sz w:val="20"/>
          <w:szCs w:val="20"/>
        </w:rPr>
        <w:t xml:space="preserve">Table </w:t>
      </w:r>
      <w:r w:rsidRPr="00187E68">
        <w:rPr>
          <w:b/>
          <w:sz w:val="20"/>
          <w:szCs w:val="20"/>
        </w:rPr>
        <w:fldChar w:fldCharType="begin"/>
      </w:r>
      <w:r w:rsidRPr="00187E68">
        <w:rPr>
          <w:b/>
          <w:sz w:val="20"/>
          <w:szCs w:val="20"/>
        </w:rPr>
        <w:instrText xml:space="preserve"> SEQ Table \* ARABIC </w:instrText>
      </w:r>
      <w:r w:rsidRPr="00187E68">
        <w:rPr>
          <w:b/>
          <w:sz w:val="20"/>
          <w:szCs w:val="20"/>
        </w:rPr>
        <w:fldChar w:fldCharType="separate"/>
      </w:r>
      <w:r w:rsidR="00AC6EDE">
        <w:rPr>
          <w:b/>
          <w:noProof/>
          <w:sz w:val="20"/>
          <w:szCs w:val="20"/>
        </w:rPr>
        <w:t>12</w:t>
      </w:r>
      <w:r w:rsidRPr="00187E68">
        <w:rPr>
          <w:b/>
          <w:sz w:val="20"/>
          <w:szCs w:val="20"/>
        </w:rPr>
        <w:fldChar w:fldCharType="end"/>
      </w:r>
      <w:r w:rsidR="00C838B1" w:rsidRPr="00187E68">
        <w:rPr>
          <w:b/>
          <w:sz w:val="20"/>
          <w:szCs w:val="20"/>
        </w:rPr>
        <w:t>: Projected Investments</w:t>
      </w:r>
      <w:r w:rsidR="004552A8" w:rsidRPr="00187E68">
        <w:rPr>
          <w:b/>
          <w:sz w:val="20"/>
          <w:szCs w:val="20"/>
        </w:rPr>
        <w:t xml:space="preserve"> (billion USD)</w:t>
      </w:r>
      <w:r w:rsidR="004552A8" w:rsidRPr="00187E68">
        <w:rPr>
          <w:rStyle w:val="FootnoteReference"/>
          <w:b/>
          <w:sz w:val="20"/>
          <w:szCs w:val="20"/>
        </w:rPr>
        <w:footnoteReference w:id="63"/>
      </w:r>
    </w:p>
    <w:tbl>
      <w:tblPr>
        <w:tblStyle w:val="TableGrid"/>
        <w:tblW w:w="0" w:type="auto"/>
        <w:tblLook w:val="04A0" w:firstRow="1" w:lastRow="0" w:firstColumn="1" w:lastColumn="0" w:noHBand="0" w:noVBand="1"/>
      </w:tblPr>
      <w:tblGrid>
        <w:gridCol w:w="1803"/>
        <w:gridCol w:w="1803"/>
        <w:gridCol w:w="1803"/>
        <w:gridCol w:w="1803"/>
      </w:tblGrid>
      <w:tr w:rsidR="004552A8" w:rsidRPr="00B44DD3" w:rsidTr="00B44DD3">
        <w:tc>
          <w:tcPr>
            <w:tcW w:w="1803" w:type="dxa"/>
            <w:tcBorders>
              <w:top w:val="single" w:sz="8" w:space="0" w:color="auto"/>
              <w:left w:val="single" w:sz="8" w:space="0" w:color="auto"/>
            </w:tcBorders>
            <w:shd w:val="clear" w:color="auto" w:fill="DEEAF6" w:themeFill="accent1" w:themeFillTint="33"/>
          </w:tcPr>
          <w:p w:rsidR="004552A8" w:rsidRPr="00B44DD3" w:rsidRDefault="004552A8" w:rsidP="00B44DD3">
            <w:pPr>
              <w:pStyle w:val="NoSpacing"/>
              <w:rPr>
                <w:b/>
                <w:sz w:val="20"/>
              </w:rPr>
            </w:pPr>
            <w:r w:rsidRPr="00B44DD3">
              <w:rPr>
                <w:b/>
                <w:sz w:val="20"/>
              </w:rPr>
              <w:t>Phase</w:t>
            </w:r>
          </w:p>
        </w:tc>
        <w:tc>
          <w:tcPr>
            <w:tcW w:w="1803" w:type="dxa"/>
            <w:tcBorders>
              <w:top w:val="single" w:sz="8" w:space="0" w:color="auto"/>
            </w:tcBorders>
            <w:shd w:val="clear" w:color="auto" w:fill="DEEAF6" w:themeFill="accent1" w:themeFillTint="33"/>
          </w:tcPr>
          <w:p w:rsidR="004552A8" w:rsidRPr="00B44DD3" w:rsidRDefault="004552A8" w:rsidP="00B44DD3">
            <w:pPr>
              <w:pStyle w:val="NoSpacing"/>
              <w:jc w:val="center"/>
              <w:rPr>
                <w:b/>
                <w:sz w:val="20"/>
              </w:rPr>
            </w:pPr>
            <w:r w:rsidRPr="00B44DD3">
              <w:rPr>
                <w:b/>
                <w:sz w:val="20"/>
              </w:rPr>
              <w:t>Finance GOB</w:t>
            </w:r>
          </w:p>
        </w:tc>
        <w:tc>
          <w:tcPr>
            <w:tcW w:w="1803" w:type="dxa"/>
            <w:tcBorders>
              <w:top w:val="single" w:sz="8" w:space="0" w:color="auto"/>
            </w:tcBorders>
            <w:shd w:val="clear" w:color="auto" w:fill="DEEAF6" w:themeFill="accent1" w:themeFillTint="33"/>
          </w:tcPr>
          <w:p w:rsidR="004552A8" w:rsidRPr="00B44DD3" w:rsidRDefault="004552A8" w:rsidP="00B44DD3">
            <w:pPr>
              <w:pStyle w:val="NoSpacing"/>
              <w:jc w:val="center"/>
              <w:rPr>
                <w:b/>
                <w:sz w:val="20"/>
              </w:rPr>
            </w:pPr>
            <w:r w:rsidRPr="00B44DD3">
              <w:rPr>
                <w:b/>
                <w:sz w:val="20"/>
              </w:rPr>
              <w:t>External Finance</w:t>
            </w:r>
          </w:p>
        </w:tc>
        <w:tc>
          <w:tcPr>
            <w:tcW w:w="1803" w:type="dxa"/>
            <w:tcBorders>
              <w:top w:val="single" w:sz="8" w:space="0" w:color="auto"/>
              <w:right w:val="single" w:sz="8" w:space="0" w:color="auto"/>
            </w:tcBorders>
            <w:shd w:val="clear" w:color="auto" w:fill="DEEAF6" w:themeFill="accent1" w:themeFillTint="33"/>
          </w:tcPr>
          <w:p w:rsidR="004552A8" w:rsidRPr="00B44DD3" w:rsidRDefault="004552A8" w:rsidP="00B44DD3">
            <w:pPr>
              <w:pStyle w:val="NoSpacing"/>
              <w:jc w:val="center"/>
              <w:rPr>
                <w:b/>
                <w:sz w:val="20"/>
              </w:rPr>
            </w:pPr>
            <w:r w:rsidRPr="00B44DD3">
              <w:rPr>
                <w:b/>
                <w:sz w:val="20"/>
              </w:rPr>
              <w:t>Total Cost</w:t>
            </w:r>
          </w:p>
        </w:tc>
      </w:tr>
      <w:tr w:rsidR="004552A8" w:rsidRPr="00B44DD3" w:rsidTr="00B44DD3">
        <w:tc>
          <w:tcPr>
            <w:tcW w:w="1803" w:type="dxa"/>
            <w:tcBorders>
              <w:left w:val="single" w:sz="8" w:space="0" w:color="auto"/>
            </w:tcBorders>
          </w:tcPr>
          <w:p w:rsidR="004552A8" w:rsidRPr="00B44DD3" w:rsidRDefault="004552A8" w:rsidP="00B44DD3">
            <w:pPr>
              <w:pStyle w:val="NoSpacing"/>
              <w:rPr>
                <w:sz w:val="20"/>
              </w:rPr>
            </w:pPr>
            <w:r w:rsidRPr="00B44DD3">
              <w:rPr>
                <w:sz w:val="20"/>
              </w:rPr>
              <w:t>2015-2020</w:t>
            </w:r>
          </w:p>
        </w:tc>
        <w:tc>
          <w:tcPr>
            <w:tcW w:w="1803" w:type="dxa"/>
          </w:tcPr>
          <w:p w:rsidR="004552A8" w:rsidRPr="00B44DD3" w:rsidRDefault="004552A8" w:rsidP="00B44DD3">
            <w:pPr>
              <w:pStyle w:val="NoSpacing"/>
              <w:jc w:val="center"/>
              <w:rPr>
                <w:sz w:val="20"/>
              </w:rPr>
            </w:pPr>
            <w:r w:rsidRPr="00B44DD3">
              <w:rPr>
                <w:sz w:val="20"/>
              </w:rPr>
              <w:t>1.16</w:t>
            </w:r>
          </w:p>
        </w:tc>
        <w:tc>
          <w:tcPr>
            <w:tcW w:w="1803" w:type="dxa"/>
          </w:tcPr>
          <w:p w:rsidR="004552A8" w:rsidRPr="00B44DD3" w:rsidRDefault="004552A8" w:rsidP="00B44DD3">
            <w:pPr>
              <w:pStyle w:val="NoSpacing"/>
              <w:jc w:val="center"/>
              <w:rPr>
                <w:sz w:val="20"/>
              </w:rPr>
            </w:pPr>
            <w:r w:rsidRPr="00B44DD3">
              <w:rPr>
                <w:sz w:val="20"/>
              </w:rPr>
              <w:t>2.45</w:t>
            </w:r>
          </w:p>
        </w:tc>
        <w:tc>
          <w:tcPr>
            <w:tcW w:w="1803" w:type="dxa"/>
            <w:tcBorders>
              <w:right w:val="single" w:sz="8" w:space="0" w:color="auto"/>
            </w:tcBorders>
          </w:tcPr>
          <w:p w:rsidR="004552A8" w:rsidRPr="00B44DD3" w:rsidRDefault="004552A8" w:rsidP="00B44DD3">
            <w:pPr>
              <w:pStyle w:val="NoSpacing"/>
              <w:jc w:val="center"/>
              <w:rPr>
                <w:sz w:val="20"/>
              </w:rPr>
            </w:pPr>
            <w:r w:rsidRPr="00B44DD3">
              <w:rPr>
                <w:sz w:val="20"/>
              </w:rPr>
              <w:t>3.61</w:t>
            </w:r>
          </w:p>
        </w:tc>
      </w:tr>
      <w:tr w:rsidR="00B44DD3" w:rsidRPr="00B44DD3" w:rsidTr="00B44DD3">
        <w:tc>
          <w:tcPr>
            <w:tcW w:w="1803" w:type="dxa"/>
            <w:tcBorders>
              <w:left w:val="single" w:sz="8" w:space="0" w:color="auto"/>
            </w:tcBorders>
          </w:tcPr>
          <w:p w:rsidR="00B44DD3" w:rsidRPr="00B44DD3" w:rsidRDefault="00B44DD3" w:rsidP="00B44DD3">
            <w:pPr>
              <w:pStyle w:val="NoSpacing"/>
              <w:rPr>
                <w:sz w:val="20"/>
              </w:rPr>
            </w:pPr>
            <w:r w:rsidRPr="00B44DD3">
              <w:rPr>
                <w:sz w:val="20"/>
              </w:rPr>
              <w:t>2020-2025</w:t>
            </w:r>
          </w:p>
        </w:tc>
        <w:tc>
          <w:tcPr>
            <w:tcW w:w="3606" w:type="dxa"/>
            <w:gridSpan w:val="2"/>
            <w:vMerge w:val="restart"/>
          </w:tcPr>
          <w:p w:rsidR="00B44DD3" w:rsidRPr="00B44DD3" w:rsidRDefault="00B44DD3" w:rsidP="00B44DD3">
            <w:pPr>
              <w:pStyle w:val="NoSpacing"/>
              <w:jc w:val="center"/>
              <w:rPr>
                <w:sz w:val="20"/>
              </w:rPr>
            </w:pPr>
          </w:p>
        </w:tc>
        <w:tc>
          <w:tcPr>
            <w:tcW w:w="1803" w:type="dxa"/>
            <w:tcBorders>
              <w:right w:val="single" w:sz="8" w:space="0" w:color="auto"/>
            </w:tcBorders>
          </w:tcPr>
          <w:p w:rsidR="00B44DD3" w:rsidRPr="00B44DD3" w:rsidRDefault="00B44DD3" w:rsidP="00B44DD3">
            <w:pPr>
              <w:pStyle w:val="NoSpacing"/>
              <w:jc w:val="center"/>
              <w:rPr>
                <w:sz w:val="20"/>
              </w:rPr>
            </w:pPr>
            <w:r w:rsidRPr="00B44DD3">
              <w:rPr>
                <w:sz w:val="20"/>
              </w:rPr>
              <w:t>5.64</w:t>
            </w:r>
          </w:p>
        </w:tc>
      </w:tr>
      <w:tr w:rsidR="00B44DD3" w:rsidRPr="00B44DD3" w:rsidTr="00B44DD3">
        <w:tc>
          <w:tcPr>
            <w:tcW w:w="1803" w:type="dxa"/>
            <w:tcBorders>
              <w:left w:val="single" w:sz="8" w:space="0" w:color="auto"/>
            </w:tcBorders>
          </w:tcPr>
          <w:p w:rsidR="00B44DD3" w:rsidRPr="00B44DD3" w:rsidRDefault="00B44DD3" w:rsidP="00B44DD3">
            <w:pPr>
              <w:pStyle w:val="NoSpacing"/>
              <w:rPr>
                <w:sz w:val="20"/>
              </w:rPr>
            </w:pPr>
            <w:r w:rsidRPr="00B44DD3">
              <w:rPr>
                <w:sz w:val="20"/>
              </w:rPr>
              <w:t>2025-2030</w:t>
            </w:r>
          </w:p>
        </w:tc>
        <w:tc>
          <w:tcPr>
            <w:tcW w:w="3606" w:type="dxa"/>
            <w:gridSpan w:val="2"/>
            <w:vMerge/>
          </w:tcPr>
          <w:p w:rsidR="00B44DD3" w:rsidRPr="00B44DD3" w:rsidRDefault="00B44DD3" w:rsidP="00B44DD3">
            <w:pPr>
              <w:pStyle w:val="NoSpacing"/>
              <w:jc w:val="center"/>
              <w:rPr>
                <w:sz w:val="20"/>
              </w:rPr>
            </w:pPr>
          </w:p>
        </w:tc>
        <w:tc>
          <w:tcPr>
            <w:tcW w:w="1803" w:type="dxa"/>
            <w:tcBorders>
              <w:right w:val="single" w:sz="8" w:space="0" w:color="auto"/>
            </w:tcBorders>
          </w:tcPr>
          <w:p w:rsidR="00B44DD3" w:rsidRPr="00B44DD3" w:rsidRDefault="00B44DD3" w:rsidP="00B44DD3">
            <w:pPr>
              <w:pStyle w:val="NoSpacing"/>
              <w:jc w:val="center"/>
              <w:rPr>
                <w:sz w:val="20"/>
              </w:rPr>
            </w:pPr>
            <w:r w:rsidRPr="00B44DD3">
              <w:rPr>
                <w:sz w:val="20"/>
              </w:rPr>
              <w:t>4.34</w:t>
            </w:r>
          </w:p>
        </w:tc>
      </w:tr>
      <w:tr w:rsidR="00B44DD3" w:rsidRPr="00B44DD3" w:rsidTr="00B44DD3">
        <w:tc>
          <w:tcPr>
            <w:tcW w:w="1803" w:type="dxa"/>
            <w:tcBorders>
              <w:left w:val="single" w:sz="8" w:space="0" w:color="auto"/>
              <w:bottom w:val="single" w:sz="8" w:space="0" w:color="auto"/>
            </w:tcBorders>
          </w:tcPr>
          <w:p w:rsidR="00B44DD3" w:rsidRPr="00B44DD3" w:rsidRDefault="00B44DD3" w:rsidP="00B44DD3">
            <w:pPr>
              <w:pStyle w:val="NoSpacing"/>
              <w:rPr>
                <w:sz w:val="20"/>
              </w:rPr>
            </w:pPr>
            <w:r w:rsidRPr="00B44DD3">
              <w:rPr>
                <w:sz w:val="20"/>
              </w:rPr>
              <w:t>Total 2015-2030</w:t>
            </w:r>
          </w:p>
        </w:tc>
        <w:tc>
          <w:tcPr>
            <w:tcW w:w="3606" w:type="dxa"/>
            <w:gridSpan w:val="2"/>
            <w:vMerge/>
            <w:tcBorders>
              <w:bottom w:val="single" w:sz="8" w:space="0" w:color="auto"/>
            </w:tcBorders>
          </w:tcPr>
          <w:p w:rsidR="00B44DD3" w:rsidRPr="00B44DD3" w:rsidRDefault="00B44DD3" w:rsidP="00B44DD3">
            <w:pPr>
              <w:pStyle w:val="NoSpacing"/>
              <w:jc w:val="center"/>
              <w:rPr>
                <w:sz w:val="20"/>
              </w:rPr>
            </w:pPr>
          </w:p>
        </w:tc>
        <w:tc>
          <w:tcPr>
            <w:tcW w:w="1803" w:type="dxa"/>
            <w:tcBorders>
              <w:bottom w:val="single" w:sz="8" w:space="0" w:color="auto"/>
              <w:right w:val="single" w:sz="8" w:space="0" w:color="auto"/>
            </w:tcBorders>
          </w:tcPr>
          <w:p w:rsidR="00B44DD3" w:rsidRPr="00B44DD3" w:rsidRDefault="00B44DD3" w:rsidP="00B44DD3">
            <w:pPr>
              <w:pStyle w:val="NoSpacing"/>
              <w:jc w:val="center"/>
              <w:rPr>
                <w:sz w:val="20"/>
              </w:rPr>
            </w:pPr>
            <w:r w:rsidRPr="00B44DD3">
              <w:rPr>
                <w:sz w:val="20"/>
              </w:rPr>
              <w:t>13.59</w:t>
            </w:r>
          </w:p>
        </w:tc>
      </w:tr>
    </w:tbl>
    <w:p w:rsidR="00C838B1" w:rsidRDefault="00B44DD3" w:rsidP="00B44DD3">
      <w:pPr>
        <w:pStyle w:val="NoSpacing"/>
      </w:pPr>
      <w:r w:rsidRPr="00B44DD3">
        <w:rPr>
          <w:sz w:val="20"/>
        </w:rPr>
        <w:t>Source: BR, Master Plan, chapter 9</w:t>
      </w:r>
      <w:r w:rsidR="00C838B1">
        <w:t xml:space="preserve"> </w:t>
      </w:r>
    </w:p>
    <w:p w:rsidR="00B44DD3" w:rsidRDefault="00B44DD3" w:rsidP="00B44DD3">
      <w:pPr>
        <w:pStyle w:val="NoSpacing"/>
      </w:pPr>
    </w:p>
    <w:p w:rsidR="00B44DD3" w:rsidRDefault="00B44DD3" w:rsidP="00B44DD3">
      <w:pPr>
        <w:pStyle w:val="NoSpacing"/>
        <w:jc w:val="both"/>
      </w:pPr>
      <w:r>
        <w:t>The NAMA has as major financial benefits the net income from its services in the passenger and the freight sector. In economic terms the SD savings (air pollution, fuel savings and accident) account for a benefit of around 3 billion USD over the investment life-span of 40 years i.e. this covers around 10% of the investment costs</w:t>
      </w:r>
      <w:r>
        <w:rPr>
          <w:rStyle w:val="FootnoteReference"/>
        </w:rPr>
        <w:footnoteReference w:id="64"/>
      </w:r>
      <w:r>
        <w:t xml:space="preserve">. </w:t>
      </w:r>
    </w:p>
    <w:p w:rsidR="00B44DD3" w:rsidRDefault="00B44DD3" w:rsidP="00B44DD3">
      <w:pPr>
        <w:pStyle w:val="NoSpacing"/>
      </w:pPr>
    </w:p>
    <w:p w:rsidR="00583759" w:rsidRPr="00F239BC" w:rsidRDefault="00583759" w:rsidP="00583759">
      <w:pPr>
        <w:jc w:val="both"/>
      </w:pPr>
      <w:r w:rsidRPr="008574BD">
        <w:t>The investment cost per ton CO</w:t>
      </w:r>
      <w:r w:rsidRPr="00500EAB">
        <w:rPr>
          <w:vertAlign w:val="subscript"/>
        </w:rPr>
        <w:t>2</w:t>
      </w:r>
      <w:r>
        <w:t xml:space="preserve"> abated is </w:t>
      </w:r>
      <w:r w:rsidRPr="008574BD">
        <w:t xml:space="preserve">calculated </w:t>
      </w:r>
      <w:r>
        <w:t>based on a 4</w:t>
      </w:r>
      <w:r w:rsidR="00932907">
        <w:t>0-</w:t>
      </w:r>
      <w:r w:rsidRPr="008574BD">
        <w:t>year period with constant G</w:t>
      </w:r>
      <w:r>
        <w:t xml:space="preserve">HG reductions from 2030 onwards and </w:t>
      </w:r>
      <w:r w:rsidR="00B44DD3">
        <w:t xml:space="preserve">total investments. This amounts to an investment </w:t>
      </w:r>
      <w:r w:rsidR="00C356C8">
        <w:t>cost of around 1,83</w:t>
      </w:r>
      <w:r w:rsidR="00B44DD3">
        <w:t>0 USD per tCO</w:t>
      </w:r>
      <w:r w:rsidR="00B44DD3" w:rsidRPr="00B44DD3">
        <w:rPr>
          <w:vertAlign w:val="subscript"/>
        </w:rPr>
        <w:t>2e</w:t>
      </w:r>
      <w:r w:rsidR="00B44DD3">
        <w:t xml:space="preserve"> avoided.</w:t>
      </w:r>
      <w:r w:rsidR="00932907">
        <w:t xml:space="preserve"> Including economic benefits,</w:t>
      </w:r>
      <w:r w:rsidR="00B44DD3">
        <w:t xml:space="preserve"> the net investment cost is reduced to </w:t>
      </w:r>
      <w:r w:rsidR="00C356C8">
        <w:t>around 1,660 USD/tCO</w:t>
      </w:r>
      <w:r w:rsidR="00C356C8" w:rsidRPr="00C356C8">
        <w:rPr>
          <w:vertAlign w:val="subscript"/>
        </w:rPr>
        <w:t>2e</w:t>
      </w:r>
      <w:r w:rsidR="00C356C8">
        <w:t xml:space="preserve">. </w:t>
      </w:r>
      <w:r>
        <w:t>This is not the CO</w:t>
      </w:r>
      <w:r w:rsidRPr="008574BD">
        <w:rPr>
          <w:vertAlign w:val="subscript"/>
        </w:rPr>
        <w:t>2</w:t>
      </w:r>
      <w:r>
        <w:t xml:space="preserve"> abatement cost as the rail project obviously has </w:t>
      </w:r>
      <w:r w:rsidR="00B44DD3">
        <w:t xml:space="preserve">income and </w:t>
      </w:r>
      <w:r>
        <w:t xml:space="preserve">benefits </w:t>
      </w:r>
      <w:r w:rsidR="00B44DD3">
        <w:t xml:space="preserve">apart from </w:t>
      </w:r>
      <w:r>
        <w:t>GHG reductions. The main reason for investing in rail is to transport more freight and passengers. The investment thus has monetary returns without being fully profitable. To determine the profitability</w:t>
      </w:r>
      <w:r w:rsidR="00932907">
        <w:t>,</w:t>
      </w:r>
      <w:r>
        <w:t xml:space="preserve"> operational revenues and costs to determine the annualized loss or profit of the investment need to be included</w:t>
      </w:r>
      <w:r w:rsidR="00932907">
        <w:t>,</w:t>
      </w:r>
      <w:r>
        <w:t xml:space="preserve"> resulting </w:t>
      </w:r>
      <w:r w:rsidR="00932907">
        <w:t xml:space="preserve">thereafter </w:t>
      </w:r>
      <w:r>
        <w:t>in positive or negative GHG abatement cost</w:t>
      </w:r>
      <w:r w:rsidR="00932907">
        <w:t>s</w:t>
      </w:r>
      <w:r>
        <w:t xml:space="preserve">. The marginal abatement cost is very much dependent on price regulations within the railway sector, especially for passenger transport, where </w:t>
      </w:r>
      <w:r w:rsidR="00C356C8">
        <w:t>fare prices are based on considerations including accessibility and social pricing</w:t>
      </w:r>
      <w:r>
        <w:t>.</w:t>
      </w:r>
    </w:p>
    <w:p w:rsidR="00583759" w:rsidRDefault="00583759" w:rsidP="00583759">
      <w:pPr>
        <w:pStyle w:val="NoSpacing"/>
      </w:pPr>
    </w:p>
    <w:p w:rsidR="00583759" w:rsidRDefault="00583759" w:rsidP="00583759">
      <w:pPr>
        <w:jc w:val="both"/>
      </w:pPr>
      <w:r w:rsidRPr="0095483C">
        <w:t xml:space="preserve">Support for early NAMA implementation </w:t>
      </w:r>
      <w:r>
        <w:t xml:space="preserve">is </w:t>
      </w:r>
      <w:r w:rsidRPr="0095483C">
        <w:t>likely to come from bilateral</w:t>
      </w:r>
      <w:r>
        <w:t xml:space="preserve"> funding sources and multilateral development</w:t>
      </w:r>
      <w:r w:rsidRPr="0095483C">
        <w:t xml:space="preserve"> banks</w:t>
      </w:r>
      <w:r>
        <w:t>.</w:t>
      </w:r>
      <w:r w:rsidRPr="0095483C">
        <w:rPr>
          <w:rFonts w:ascii="HelveticaNeue" w:hAnsi="HelveticaNeue" w:cs="HelveticaNeue"/>
          <w:color w:val="404040"/>
          <w:sz w:val="16"/>
          <w:szCs w:val="16"/>
        </w:rPr>
        <w:t xml:space="preserve"> </w:t>
      </w:r>
      <w:r w:rsidR="00704742">
        <w:t>T</w:t>
      </w:r>
      <w:r w:rsidRPr="00994BED">
        <w:t xml:space="preserve">he Green Climate Fund </w:t>
      </w:r>
      <w:r>
        <w:t xml:space="preserve">(GCF) </w:t>
      </w:r>
      <w:r w:rsidR="00704742">
        <w:t xml:space="preserve">has </w:t>
      </w:r>
      <w:r w:rsidRPr="00994BED">
        <w:t xml:space="preserve">become operational </w:t>
      </w:r>
      <w:r w:rsidR="00704742">
        <w:t>and has decided upon first credits and grants in 2015</w:t>
      </w:r>
      <w:r w:rsidRPr="00994BED">
        <w:t>. Nevertheless, there is no mechanism through which NAMAs can almost automatically receive interna</w:t>
      </w:r>
      <w:r w:rsidRPr="00994BED">
        <w:softHyphen/>
        <w:t xml:space="preserve">tional grants or other funding as it is expected by many actors. In fact, it is </w:t>
      </w:r>
      <w:r w:rsidR="002A0B83">
        <w:t xml:space="preserve">highly </w:t>
      </w:r>
      <w:r w:rsidRPr="00994BED">
        <w:t>unlikely that NAMAs will be fi</w:t>
      </w:r>
      <w:r w:rsidRPr="00994BED">
        <w:softHyphen/>
        <w:t xml:space="preserve">nanced only through grants and/or public funds. Hence, </w:t>
      </w:r>
      <w:r w:rsidRPr="00994BED">
        <w:rPr>
          <w:bCs/>
        </w:rPr>
        <w:t>NAMA financing mechanisms</w:t>
      </w:r>
      <w:r w:rsidRPr="00994BED">
        <w:rPr>
          <w:b/>
          <w:bCs/>
        </w:rPr>
        <w:t xml:space="preserve"> </w:t>
      </w:r>
      <w:r w:rsidRPr="00994BED">
        <w:t>need to be established to leverage and mobilise private investments</w:t>
      </w:r>
      <w:r w:rsidRPr="00161A84">
        <w:t xml:space="preserve">. The major part of necessary climate investments will not come from the international realm but from domestic sources like taxes, levies, public budgets, etc. </w:t>
      </w:r>
      <w:r w:rsidRPr="0095483C">
        <w:t xml:space="preserve">The GCF </w:t>
      </w:r>
      <w:r w:rsidR="002A0B83">
        <w:t xml:space="preserve">can however </w:t>
      </w:r>
      <w:r>
        <w:t xml:space="preserve">be critical in providing </w:t>
      </w:r>
      <w:r w:rsidRPr="0095483C">
        <w:t>complementary resources to those of existing financial</w:t>
      </w:r>
      <w:r>
        <w:t xml:space="preserve"> </w:t>
      </w:r>
      <w:r w:rsidRPr="0095483C">
        <w:t xml:space="preserve">actors. </w:t>
      </w:r>
    </w:p>
    <w:p w:rsidR="00C356C8" w:rsidRDefault="00583759" w:rsidP="00583759">
      <w:pPr>
        <w:jc w:val="both"/>
        <w:rPr>
          <w:lang w:val="en-US"/>
        </w:rPr>
      </w:pPr>
      <w:r w:rsidRPr="00994BED">
        <w:t>Ger</w:t>
      </w:r>
      <w:r w:rsidRPr="00994BED">
        <w:softHyphen/>
        <w:t>many and the United Kingdom have launched on De</w:t>
      </w:r>
      <w:r w:rsidRPr="00994BED">
        <w:softHyphen/>
        <w:t>cember 6, 2012, in Doha the NAMA Facility to support and mobilize the financing of NAMA implementation as the first financing facility specifically aimed at NAMAs; mitigation actions are only starting to be financed as NA</w:t>
      </w:r>
      <w:r w:rsidRPr="00994BED">
        <w:softHyphen/>
        <w:t>M</w:t>
      </w:r>
      <w:r w:rsidR="00C356C8">
        <w:t>A</w:t>
      </w:r>
      <w:r w:rsidRPr="00994BED">
        <w:t>s</w:t>
      </w:r>
      <w:r w:rsidR="00C356C8">
        <w:t xml:space="preserve">. </w:t>
      </w:r>
      <w:r>
        <w:rPr>
          <w:lang w:val="en-US"/>
        </w:rPr>
        <w:t>This facility</w:t>
      </w:r>
      <w:r w:rsidRPr="00661C82">
        <w:rPr>
          <w:lang w:val="en-US"/>
        </w:rPr>
        <w:t xml:space="preserve">, has </w:t>
      </w:r>
      <w:r w:rsidR="00C356C8">
        <w:rPr>
          <w:lang w:val="en-US"/>
        </w:rPr>
        <w:t xml:space="preserve">as of </w:t>
      </w:r>
      <w:r w:rsidR="00C356C8">
        <w:rPr>
          <w:lang w:val="en-US"/>
        </w:rPr>
        <w:lastRenderedPageBreak/>
        <w:t>May 2016 supported 14 projects with a maximum of 20 million Euro per NAMA i.e. the facility is not geared towards large infrastructure programs but towards capacity building, smaller projects and towards creating the conditions to access major finance. Therefore, it is not surprising that no rail project has entered the NAMA facility Fund</w:t>
      </w:r>
      <w:r w:rsidR="00C356C8">
        <w:rPr>
          <w:rStyle w:val="FootnoteReference"/>
          <w:lang w:val="en-US"/>
        </w:rPr>
        <w:footnoteReference w:id="65"/>
      </w:r>
      <w:r w:rsidR="00C356C8">
        <w:rPr>
          <w:lang w:val="en-US"/>
        </w:rPr>
        <w:t>.</w:t>
      </w:r>
    </w:p>
    <w:p w:rsidR="004A02F2" w:rsidRDefault="00583759" w:rsidP="00C356C8">
      <w:pPr>
        <w:jc w:val="both"/>
      </w:pPr>
      <w:r>
        <w:t xml:space="preserve">For sources of carbon finance see e.g. </w:t>
      </w:r>
      <w:hyperlink r:id="rId28" w:history="1">
        <w:r w:rsidR="00C356C8" w:rsidRPr="00171693">
          <w:rPr>
            <w:rStyle w:val="Hyperlink"/>
          </w:rPr>
          <w:t>http://www.climatefundsupdate.org</w:t>
        </w:r>
      </w:hyperlink>
      <w:r w:rsidR="00C356C8">
        <w:t xml:space="preserve"> </w:t>
      </w:r>
    </w:p>
    <w:p w:rsidR="00C356C8" w:rsidRDefault="00187E68" w:rsidP="00187E68">
      <w:pPr>
        <w:pStyle w:val="Heading1"/>
        <w:ind w:firstLine="720"/>
      </w:pPr>
      <w:r>
        <w:br w:type="column"/>
      </w:r>
      <w:bookmarkStart w:id="32" w:name="_Toc466207358"/>
      <w:r>
        <w:lastRenderedPageBreak/>
        <w:t xml:space="preserve">9. </w:t>
      </w:r>
      <w:r w:rsidR="00C356C8">
        <w:t>MRV</w:t>
      </w:r>
      <w:bookmarkEnd w:id="32"/>
    </w:p>
    <w:p w:rsidR="00EC2775" w:rsidRDefault="00187E68" w:rsidP="00187E68">
      <w:pPr>
        <w:pStyle w:val="Heading2"/>
        <w:ind w:firstLine="720"/>
      </w:pPr>
      <w:bookmarkStart w:id="33" w:name="_Toc466207359"/>
      <w:r>
        <w:t xml:space="preserve">9.1. </w:t>
      </w:r>
      <w:r w:rsidR="00EC2775">
        <w:t>National Context</w:t>
      </w:r>
      <w:bookmarkEnd w:id="33"/>
    </w:p>
    <w:p w:rsidR="00EC2775" w:rsidRDefault="00EC2775" w:rsidP="00EC2775"/>
    <w:p w:rsidR="0009572A" w:rsidRDefault="00D80C6B" w:rsidP="00D80C6B">
      <w:pPr>
        <w:jc w:val="both"/>
        <w:rPr>
          <w:lang w:val="en-US"/>
        </w:rPr>
      </w:pPr>
      <w:r>
        <w:rPr>
          <w:lang w:val="en-US"/>
        </w:rPr>
        <w:t xml:space="preserve">Within the national system for GHG inventory of Bangladesh </w:t>
      </w:r>
      <w:r w:rsidR="0009572A">
        <w:rPr>
          <w:lang w:val="en-US"/>
        </w:rPr>
        <w:t>MO</w:t>
      </w:r>
      <w:r>
        <w:rPr>
          <w:lang w:val="en-US"/>
        </w:rPr>
        <w:t>E</w:t>
      </w:r>
      <w:r w:rsidR="0009572A">
        <w:rPr>
          <w:lang w:val="en-US"/>
        </w:rPr>
        <w:t>F</w:t>
      </w:r>
      <w:r w:rsidRPr="00D1748B">
        <w:rPr>
          <w:lang w:val="en-US"/>
        </w:rPr>
        <w:t xml:space="preserve"> is the focal poin</w:t>
      </w:r>
      <w:r>
        <w:rPr>
          <w:lang w:val="en-US"/>
        </w:rPr>
        <w:t xml:space="preserve">t </w:t>
      </w:r>
      <w:r w:rsidR="0009572A">
        <w:rPr>
          <w:lang w:val="en-US"/>
        </w:rPr>
        <w:t>for reporting GHG emissions. In the transport sector only a top-down approach has been followed to the moment without further disaggregation except in the 2</w:t>
      </w:r>
      <w:r w:rsidR="0009572A" w:rsidRPr="0009572A">
        <w:rPr>
          <w:vertAlign w:val="superscript"/>
          <w:lang w:val="en-US"/>
        </w:rPr>
        <w:t>nd</w:t>
      </w:r>
      <w:r w:rsidR="0009572A">
        <w:rPr>
          <w:lang w:val="en-US"/>
        </w:rPr>
        <w:t xml:space="preserve"> National Communication for vehicle categories.</w:t>
      </w:r>
    </w:p>
    <w:p w:rsidR="00D80C6B" w:rsidRDefault="00D80C6B" w:rsidP="0009572A">
      <w:pPr>
        <w:jc w:val="both"/>
      </w:pPr>
      <w:r>
        <w:t xml:space="preserve">The monitoring system </w:t>
      </w:r>
      <w:r w:rsidR="0009572A">
        <w:t xml:space="preserve">for the NAMA </w:t>
      </w:r>
      <w:r>
        <w:t>primarily track</w:t>
      </w:r>
      <w:r w:rsidR="00932907">
        <w:t>s</w:t>
      </w:r>
      <w:r>
        <w:t xml:space="preserve"> GHG emissions and the sustainable development impact of </w:t>
      </w:r>
      <w:r w:rsidR="0009572A">
        <w:t>inter-urban rail transport</w:t>
      </w:r>
      <w:r>
        <w:t xml:space="preserve">. For the national GHG monitoring system it can provide tracking of the impact of NAMA implementation </w:t>
      </w:r>
      <w:r w:rsidR="0009572A">
        <w:t xml:space="preserve">and certain parameters can </w:t>
      </w:r>
      <w:r>
        <w:t xml:space="preserve">serve as input factor for a bottom-up estimation of GHG transport emissions. Bottom-up data again can serve for </w:t>
      </w:r>
      <w:r w:rsidR="002A0B83">
        <w:t>Biennial Update Reports (</w:t>
      </w:r>
      <w:r>
        <w:t>BURs</w:t>
      </w:r>
      <w:r w:rsidR="002A0B83">
        <w:t>)</w:t>
      </w:r>
      <w:r>
        <w:t xml:space="preserve"> as explanatory source of information conce</w:t>
      </w:r>
      <w:r w:rsidR="0009572A">
        <w:t xml:space="preserve">rning mitigation achievements. </w:t>
      </w:r>
    </w:p>
    <w:p w:rsidR="00EC2775" w:rsidRDefault="00187E68" w:rsidP="00187E68">
      <w:pPr>
        <w:pStyle w:val="Heading2"/>
        <w:ind w:firstLine="720"/>
      </w:pPr>
      <w:bookmarkStart w:id="34" w:name="_Toc466207360"/>
      <w:r>
        <w:t xml:space="preserve">9.2. </w:t>
      </w:r>
      <w:r w:rsidR="005F4241">
        <w:t>Monitoring</w:t>
      </w:r>
      <w:bookmarkEnd w:id="34"/>
    </w:p>
    <w:p w:rsidR="005F4241" w:rsidRDefault="005F4241" w:rsidP="005F4241"/>
    <w:p w:rsidR="005F4241" w:rsidRDefault="005F4241" w:rsidP="005F4241">
      <w:r>
        <w:t xml:space="preserve">The following figure shows the steps required </w:t>
      </w:r>
      <w:r w:rsidR="00932907">
        <w:t xml:space="preserve">in monitoring </w:t>
      </w:r>
      <w:r>
        <w:t>to determine the NAMA impact.</w:t>
      </w:r>
    </w:p>
    <w:p w:rsidR="005F4241" w:rsidRPr="00AC6EDE" w:rsidRDefault="00AC6EDE" w:rsidP="00AC6EDE">
      <w:pPr>
        <w:pStyle w:val="Caption"/>
        <w:rPr>
          <w:b/>
          <w:i w:val="0"/>
          <w:sz w:val="20"/>
          <w:szCs w:val="20"/>
        </w:rPr>
      </w:pPr>
      <w:r w:rsidRPr="00AC6EDE">
        <w:rPr>
          <w:b/>
          <w:i w:val="0"/>
          <w:sz w:val="20"/>
          <w:szCs w:val="20"/>
        </w:rPr>
        <w:t xml:space="preserve">Figure </w:t>
      </w:r>
      <w:r w:rsidRPr="00AC6EDE">
        <w:rPr>
          <w:b/>
          <w:i w:val="0"/>
          <w:sz w:val="20"/>
          <w:szCs w:val="20"/>
        </w:rPr>
        <w:fldChar w:fldCharType="begin"/>
      </w:r>
      <w:r w:rsidRPr="00AC6EDE">
        <w:rPr>
          <w:b/>
          <w:i w:val="0"/>
          <w:sz w:val="20"/>
          <w:szCs w:val="20"/>
        </w:rPr>
        <w:instrText xml:space="preserve"> SEQ Figure \* ARABIC </w:instrText>
      </w:r>
      <w:r w:rsidRPr="00AC6EDE">
        <w:rPr>
          <w:b/>
          <w:i w:val="0"/>
          <w:sz w:val="20"/>
          <w:szCs w:val="20"/>
        </w:rPr>
        <w:fldChar w:fldCharType="separate"/>
      </w:r>
      <w:r w:rsidRPr="00AC6EDE">
        <w:rPr>
          <w:b/>
          <w:i w:val="0"/>
          <w:noProof/>
          <w:sz w:val="20"/>
          <w:szCs w:val="20"/>
        </w:rPr>
        <w:t>15</w:t>
      </w:r>
      <w:r w:rsidRPr="00AC6EDE">
        <w:rPr>
          <w:b/>
          <w:i w:val="0"/>
          <w:sz w:val="20"/>
          <w:szCs w:val="20"/>
        </w:rPr>
        <w:fldChar w:fldCharType="end"/>
      </w:r>
      <w:r w:rsidR="007F0E9B" w:rsidRPr="00AC6EDE">
        <w:rPr>
          <w:b/>
          <w:i w:val="0"/>
          <w:sz w:val="20"/>
          <w:szCs w:val="20"/>
        </w:rPr>
        <w:t>: NAMA Monitoring Steps</w:t>
      </w:r>
    </w:p>
    <w:p w:rsidR="005F4241" w:rsidRPr="005463F1" w:rsidRDefault="005F4241" w:rsidP="005F4241">
      <w:pPr>
        <w:pStyle w:val="NoSpacing"/>
        <w:rPr>
          <w:b/>
          <w:sz w:val="20"/>
        </w:rPr>
      </w:pPr>
    </w:p>
    <w:p w:rsidR="005F4241" w:rsidRDefault="005F4241" w:rsidP="005F4241">
      <w:r>
        <w:rPr>
          <w:noProof/>
          <w:lang w:eastAsia="en-GB"/>
        </w:rPr>
        <w:drawing>
          <wp:inline distT="0" distB="0" distL="0" distR="0" wp14:anchorId="15A8ADEB" wp14:editId="0324D994">
            <wp:extent cx="5486400" cy="2606040"/>
            <wp:effectExtent l="38100" t="19050" r="19050" b="41910"/>
            <wp:docPr id="13" name="Diagram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rsidR="005F4241" w:rsidRDefault="005F4241" w:rsidP="005F4241">
      <w:pPr>
        <w:jc w:val="both"/>
      </w:pPr>
      <w:r w:rsidRPr="00871CC5">
        <w:rPr>
          <w:b/>
        </w:rPr>
        <w:t>Step 1 Implementation status:</w:t>
      </w:r>
      <w:r>
        <w:t xml:space="preserve"> The physical implementation of the NAMA is monitored and compared to projections. Core parameters include distance of new tracks built, distance of new double tracking rails and number of additional coaches, carriages and </w:t>
      </w:r>
      <w:r w:rsidR="00932907">
        <w:t>locos</w:t>
      </w:r>
      <w:r>
        <w:t>. This data is not required for emission reduction calculations but shows the progress of the NAMA and can be used for plausibility of the monitored activity levels and emission reductions.</w:t>
      </w:r>
    </w:p>
    <w:p w:rsidR="005F4241" w:rsidRDefault="005F4241" w:rsidP="005F4241">
      <w:pPr>
        <w:jc w:val="both"/>
      </w:pPr>
      <w:r w:rsidRPr="0066051E">
        <w:rPr>
          <w:b/>
        </w:rPr>
        <w:t>Step 2 Activity level:</w:t>
      </w:r>
      <w:r>
        <w:t xml:space="preserve"> The activity level in terms of pkm </w:t>
      </w:r>
      <w:r w:rsidR="00134B65">
        <w:t xml:space="preserve">(only inter-urban transport i.e. if in the future an urban passenger rail system e.g. metro, is established these numbers are not included) </w:t>
      </w:r>
      <w:r>
        <w:t>and tkm is monitored</w:t>
      </w:r>
      <w:r w:rsidR="00134B65">
        <w:t xml:space="preserve"> together with the passenger numbers and freight tonnage and the average lead passenger and freight transport</w:t>
      </w:r>
      <w:r>
        <w:t>.</w:t>
      </w:r>
      <w:r w:rsidR="00134B65">
        <w:t xml:space="preserve"> This data is already collected and reported annually by BR.</w:t>
      </w:r>
      <w:r>
        <w:t xml:space="preserve"> </w:t>
      </w:r>
    </w:p>
    <w:p w:rsidR="005F4241" w:rsidRDefault="005F4241" w:rsidP="005F4241">
      <w:pPr>
        <w:jc w:val="both"/>
      </w:pPr>
      <w:r w:rsidRPr="0066051E">
        <w:rPr>
          <w:b/>
        </w:rPr>
        <w:t xml:space="preserve">Step 3 </w:t>
      </w:r>
      <w:r>
        <w:rPr>
          <w:b/>
        </w:rPr>
        <w:t xml:space="preserve">Energy </w:t>
      </w:r>
      <w:r w:rsidRPr="0066051E">
        <w:rPr>
          <w:b/>
        </w:rPr>
        <w:t>consumption rail:</w:t>
      </w:r>
      <w:r>
        <w:t xml:space="preserve"> The diesel fuel </w:t>
      </w:r>
      <w:r w:rsidR="00134B65">
        <w:t xml:space="preserve">(and eventually in the future electricity consumption) of rail is monitored. The assignment to freight and to passenger </w:t>
      </w:r>
      <w:r w:rsidR="00932907">
        <w:t xml:space="preserve">transport </w:t>
      </w:r>
      <w:r w:rsidR="00134B65">
        <w:t>can be based on the engine-</w:t>
      </w:r>
      <w:r w:rsidR="00134B65">
        <w:lastRenderedPageBreak/>
        <w:t>km for freight and for passenger movement. In case of establishment of an urban rail system in the future (metro or LRT) the energy consumption of the urban system needs to be excluded.</w:t>
      </w:r>
      <w:r w:rsidR="00134B65" w:rsidRPr="00134B65">
        <w:t xml:space="preserve"> </w:t>
      </w:r>
      <w:r w:rsidR="00134B65">
        <w:t xml:space="preserve">This data is already collected and reported annually by BR. </w:t>
      </w:r>
      <w:r>
        <w:t xml:space="preserve">Together with the tkm and pkm of rail and the emission factor of diesel this allows to calculate the specific emission factor per tkm and per pkm of rail. </w:t>
      </w:r>
      <w:r w:rsidRPr="005B5BAB">
        <w:t xml:space="preserve"> </w:t>
      </w:r>
    </w:p>
    <w:p w:rsidR="005F4241" w:rsidRDefault="005F4241" w:rsidP="005F4241">
      <w:pPr>
        <w:jc w:val="both"/>
      </w:pPr>
      <w:r w:rsidRPr="00516F8A">
        <w:rPr>
          <w:b/>
        </w:rPr>
        <w:t xml:space="preserve">Step </w:t>
      </w:r>
      <w:r>
        <w:rPr>
          <w:b/>
        </w:rPr>
        <w:t>4</w:t>
      </w:r>
      <w:r w:rsidRPr="00516F8A">
        <w:rPr>
          <w:b/>
        </w:rPr>
        <w:t xml:space="preserve"> Baseline emission factors:</w:t>
      </w:r>
      <w:r>
        <w:t xml:space="preserve"> Factors which are revised in regular intervals include the specific fuel consumption of different vehicles</w:t>
      </w:r>
      <w:r w:rsidR="00134B65">
        <w:t xml:space="preserve"> (basically inter-urban trucks and</w:t>
      </w:r>
      <w:r>
        <w:t xml:space="preserve"> buses) and the </w:t>
      </w:r>
      <w:r w:rsidR="00134B65">
        <w:t xml:space="preserve">load factor of these vehicle categories. Eventually also a passenger mode split survey of rail passengers is made again in the future. The periodic update of the baseline </w:t>
      </w:r>
      <w:r>
        <w:t xml:space="preserve">parameters </w:t>
      </w:r>
      <w:r w:rsidR="00134B65">
        <w:t>allows for an adjustment of baseline emissions and improves the precision level of emission reduction calculations</w:t>
      </w:r>
      <w:r>
        <w:t>.</w:t>
      </w:r>
    </w:p>
    <w:p w:rsidR="005F4241" w:rsidRDefault="005F4241" w:rsidP="005F4241">
      <w:pPr>
        <w:jc w:val="both"/>
      </w:pPr>
      <w:r>
        <w:rPr>
          <w:b/>
        </w:rPr>
        <w:t>Step 5</w:t>
      </w:r>
      <w:r w:rsidRPr="00516F8A">
        <w:rPr>
          <w:b/>
        </w:rPr>
        <w:t xml:space="preserve"> Emission Reductions:</w:t>
      </w:r>
      <w:r>
        <w:t xml:space="preserve"> Based on the values for the monitored parameters and the calculus method the emission reductions are determined. </w:t>
      </w:r>
    </w:p>
    <w:p w:rsidR="00977641" w:rsidRDefault="005F4241" w:rsidP="005F4241">
      <w:pPr>
        <w:jc w:val="both"/>
      </w:pPr>
      <w:r>
        <w:rPr>
          <w:b/>
        </w:rPr>
        <w:t>Step 6</w:t>
      </w:r>
      <w:r w:rsidRPr="00516F8A">
        <w:rPr>
          <w:b/>
        </w:rPr>
        <w:t xml:space="preserve"> </w:t>
      </w:r>
      <w:r>
        <w:rPr>
          <w:b/>
        </w:rPr>
        <w:t xml:space="preserve">Sustainable development </w:t>
      </w:r>
      <w:r w:rsidRPr="005B5BAB">
        <w:rPr>
          <w:b/>
        </w:rPr>
        <w:t>parameters:</w:t>
      </w:r>
      <w:r>
        <w:rPr>
          <w:b/>
        </w:rPr>
        <w:t xml:space="preserve"> </w:t>
      </w:r>
      <w:r>
        <w:t xml:space="preserve">The </w:t>
      </w:r>
      <w:r w:rsidR="00134B65">
        <w:t>impact on sustainable development indicators is calculated. Monitored parameters include the fatality rate of rail accidents, the diesel fuel price and in a periodic manner an update o</w:t>
      </w:r>
      <w:r w:rsidR="00932907">
        <w:t>f the baseline accident</w:t>
      </w:r>
      <w:r w:rsidR="00134B65">
        <w:t xml:space="preserve"> rate of road transport. </w:t>
      </w:r>
    </w:p>
    <w:p w:rsidR="00977641" w:rsidRDefault="00977641" w:rsidP="00977641">
      <w:pPr>
        <w:jc w:val="both"/>
      </w:pPr>
      <w:r>
        <w:t>The following table summarizes the different result indicators and parameters monitored for the NAMA.</w:t>
      </w:r>
      <w:r w:rsidRPr="007D1B31">
        <w:t xml:space="preserve"> </w:t>
      </w:r>
      <w:r>
        <w:t>Annex 2 contains for each parameter details concerning measurement procedures, best practice and quality assurance (QA).</w:t>
      </w:r>
    </w:p>
    <w:p w:rsidR="00977641" w:rsidRPr="00187E68" w:rsidRDefault="00187E68" w:rsidP="00187E68">
      <w:pPr>
        <w:pStyle w:val="NoSpacing"/>
        <w:rPr>
          <w:b/>
          <w:sz w:val="20"/>
          <w:szCs w:val="20"/>
        </w:rPr>
      </w:pPr>
      <w:r w:rsidRPr="00187E68">
        <w:rPr>
          <w:b/>
          <w:sz w:val="20"/>
          <w:szCs w:val="20"/>
        </w:rPr>
        <w:t xml:space="preserve">Table </w:t>
      </w:r>
      <w:r w:rsidRPr="00187E68">
        <w:rPr>
          <w:b/>
          <w:sz w:val="20"/>
          <w:szCs w:val="20"/>
        </w:rPr>
        <w:fldChar w:fldCharType="begin"/>
      </w:r>
      <w:r w:rsidRPr="00187E68">
        <w:rPr>
          <w:b/>
          <w:sz w:val="20"/>
          <w:szCs w:val="20"/>
        </w:rPr>
        <w:instrText xml:space="preserve"> SEQ Table \* ARABIC </w:instrText>
      </w:r>
      <w:r w:rsidRPr="00187E68">
        <w:rPr>
          <w:b/>
          <w:sz w:val="20"/>
          <w:szCs w:val="20"/>
        </w:rPr>
        <w:fldChar w:fldCharType="separate"/>
      </w:r>
      <w:r w:rsidR="00AC6EDE">
        <w:rPr>
          <w:b/>
          <w:noProof/>
          <w:sz w:val="20"/>
          <w:szCs w:val="20"/>
        </w:rPr>
        <w:t>13</w:t>
      </w:r>
      <w:r w:rsidRPr="00187E68">
        <w:rPr>
          <w:b/>
          <w:sz w:val="20"/>
          <w:szCs w:val="20"/>
        </w:rPr>
        <w:fldChar w:fldCharType="end"/>
      </w:r>
      <w:r w:rsidR="00977641" w:rsidRPr="00187E68">
        <w:rPr>
          <w:b/>
          <w:sz w:val="20"/>
          <w:szCs w:val="20"/>
        </w:rPr>
        <w:t xml:space="preserve">: Result Indicators </w:t>
      </w:r>
    </w:p>
    <w:tbl>
      <w:tblPr>
        <w:tblW w:w="0" w:type="auto"/>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firstRow="1" w:lastRow="0" w:firstColumn="1" w:lastColumn="0" w:noHBand="0" w:noVBand="1"/>
      </w:tblPr>
      <w:tblGrid>
        <w:gridCol w:w="396"/>
        <w:gridCol w:w="2241"/>
        <w:gridCol w:w="6359"/>
      </w:tblGrid>
      <w:tr w:rsidR="00977641" w:rsidRPr="004B02E5" w:rsidTr="00977641">
        <w:tc>
          <w:tcPr>
            <w:tcW w:w="396" w:type="dxa"/>
            <w:shd w:val="clear" w:color="auto" w:fill="C6D9F1"/>
          </w:tcPr>
          <w:p w:rsidR="00977641" w:rsidRPr="004B02E5" w:rsidRDefault="00977641" w:rsidP="003444B1">
            <w:pPr>
              <w:pStyle w:val="NoSpacing"/>
              <w:rPr>
                <w:b/>
                <w:sz w:val="20"/>
              </w:rPr>
            </w:pPr>
            <w:r w:rsidRPr="004B02E5">
              <w:rPr>
                <w:b/>
                <w:sz w:val="20"/>
              </w:rPr>
              <w:t>ID</w:t>
            </w:r>
          </w:p>
        </w:tc>
        <w:tc>
          <w:tcPr>
            <w:tcW w:w="2241" w:type="dxa"/>
            <w:shd w:val="clear" w:color="auto" w:fill="C6D9F1"/>
          </w:tcPr>
          <w:p w:rsidR="00977641" w:rsidRPr="004B02E5" w:rsidRDefault="00977641" w:rsidP="003444B1">
            <w:pPr>
              <w:pStyle w:val="NoSpacing"/>
              <w:rPr>
                <w:b/>
                <w:sz w:val="20"/>
              </w:rPr>
            </w:pPr>
            <w:r w:rsidRPr="004B02E5">
              <w:rPr>
                <w:b/>
                <w:sz w:val="20"/>
              </w:rPr>
              <w:t>Indicator</w:t>
            </w:r>
          </w:p>
        </w:tc>
        <w:tc>
          <w:tcPr>
            <w:tcW w:w="6359" w:type="dxa"/>
            <w:shd w:val="clear" w:color="auto" w:fill="C6D9F1"/>
          </w:tcPr>
          <w:p w:rsidR="00977641" w:rsidRPr="004B02E5" w:rsidRDefault="00977641" w:rsidP="003444B1">
            <w:pPr>
              <w:pStyle w:val="NoSpacing"/>
              <w:rPr>
                <w:b/>
                <w:sz w:val="20"/>
              </w:rPr>
            </w:pPr>
            <w:r w:rsidRPr="004B02E5">
              <w:rPr>
                <w:b/>
                <w:sz w:val="20"/>
              </w:rPr>
              <w:t>Description</w:t>
            </w:r>
          </w:p>
        </w:tc>
      </w:tr>
      <w:tr w:rsidR="00CC0CF1" w:rsidRPr="004B02E5" w:rsidTr="00977641">
        <w:tc>
          <w:tcPr>
            <w:tcW w:w="396" w:type="dxa"/>
            <w:shd w:val="clear" w:color="auto" w:fill="auto"/>
          </w:tcPr>
          <w:p w:rsidR="00CC0CF1" w:rsidRPr="004B02E5" w:rsidRDefault="00CC0CF1" w:rsidP="00CC0CF1">
            <w:pPr>
              <w:pStyle w:val="NoSpacing"/>
              <w:rPr>
                <w:sz w:val="20"/>
              </w:rPr>
            </w:pPr>
            <w:r>
              <w:rPr>
                <w:sz w:val="20"/>
              </w:rPr>
              <w:t>1</w:t>
            </w:r>
          </w:p>
        </w:tc>
        <w:tc>
          <w:tcPr>
            <w:tcW w:w="2241" w:type="dxa"/>
            <w:shd w:val="clear" w:color="auto" w:fill="auto"/>
          </w:tcPr>
          <w:p w:rsidR="00CC0CF1" w:rsidRPr="004B02E5" w:rsidRDefault="00CC0CF1" w:rsidP="00CC0CF1">
            <w:pPr>
              <w:pStyle w:val="NoSpacing"/>
              <w:rPr>
                <w:sz w:val="20"/>
              </w:rPr>
            </w:pPr>
            <w:r w:rsidRPr="004B02E5">
              <w:rPr>
                <w:sz w:val="20"/>
              </w:rPr>
              <w:t>tCO</w:t>
            </w:r>
            <w:r w:rsidRPr="004B02E5">
              <w:rPr>
                <w:sz w:val="20"/>
                <w:vertAlign w:val="subscript"/>
              </w:rPr>
              <w:t>2</w:t>
            </w:r>
            <w:r w:rsidRPr="004B02E5">
              <w:rPr>
                <w:sz w:val="20"/>
              </w:rPr>
              <w:t xml:space="preserve"> reduced</w:t>
            </w:r>
          </w:p>
        </w:tc>
        <w:tc>
          <w:tcPr>
            <w:tcW w:w="6359" w:type="dxa"/>
            <w:shd w:val="clear" w:color="auto" w:fill="auto"/>
          </w:tcPr>
          <w:p w:rsidR="00CC0CF1" w:rsidRDefault="00CC0CF1" w:rsidP="00CC0CF1">
            <w:pPr>
              <w:pStyle w:val="NoSpacing"/>
              <w:rPr>
                <w:sz w:val="20"/>
              </w:rPr>
            </w:pPr>
            <w:r w:rsidRPr="004B02E5">
              <w:rPr>
                <w:sz w:val="20"/>
              </w:rPr>
              <w:t xml:space="preserve">GHG impact or outcome indicator </w:t>
            </w:r>
          </w:p>
          <w:p w:rsidR="00CC0CF1" w:rsidRPr="004B02E5" w:rsidRDefault="00CC0CF1" w:rsidP="00CC0CF1">
            <w:pPr>
              <w:pStyle w:val="NoSpacing"/>
              <w:rPr>
                <w:sz w:val="20"/>
              </w:rPr>
            </w:pPr>
            <w:r w:rsidRPr="004B02E5">
              <w:rPr>
                <w:sz w:val="20"/>
              </w:rPr>
              <w:t>Calculated as TTW and as WTW including BC (Black Carbon)</w:t>
            </w:r>
          </w:p>
        </w:tc>
      </w:tr>
      <w:tr w:rsidR="00CC0CF1" w:rsidRPr="004B02E5" w:rsidTr="00977641">
        <w:tc>
          <w:tcPr>
            <w:tcW w:w="396" w:type="dxa"/>
            <w:shd w:val="clear" w:color="auto" w:fill="auto"/>
          </w:tcPr>
          <w:p w:rsidR="00CC0CF1" w:rsidRPr="004B02E5" w:rsidRDefault="00CC0CF1" w:rsidP="00CC0CF1">
            <w:pPr>
              <w:pStyle w:val="NoSpacing"/>
              <w:rPr>
                <w:sz w:val="20"/>
              </w:rPr>
            </w:pPr>
            <w:r>
              <w:rPr>
                <w:sz w:val="20"/>
              </w:rPr>
              <w:t>2</w:t>
            </w:r>
          </w:p>
        </w:tc>
        <w:tc>
          <w:tcPr>
            <w:tcW w:w="2241" w:type="dxa"/>
            <w:shd w:val="clear" w:color="auto" w:fill="auto"/>
          </w:tcPr>
          <w:p w:rsidR="00CC0CF1" w:rsidRPr="004B02E5" w:rsidRDefault="00CC0CF1" w:rsidP="00CC0CF1">
            <w:pPr>
              <w:pStyle w:val="NoSpacing"/>
              <w:rPr>
                <w:sz w:val="20"/>
              </w:rPr>
            </w:pPr>
            <w:r w:rsidRPr="004B02E5">
              <w:rPr>
                <w:sz w:val="20"/>
              </w:rPr>
              <w:t>gCO</w:t>
            </w:r>
            <w:r w:rsidRPr="004B02E5">
              <w:rPr>
                <w:sz w:val="20"/>
                <w:vertAlign w:val="subscript"/>
              </w:rPr>
              <w:t>2</w:t>
            </w:r>
            <w:r w:rsidRPr="004B02E5">
              <w:rPr>
                <w:sz w:val="20"/>
              </w:rPr>
              <w:t>/</w:t>
            </w:r>
            <w:r>
              <w:rPr>
                <w:sz w:val="20"/>
              </w:rPr>
              <w:t>p</w:t>
            </w:r>
            <w:r w:rsidRPr="004B02E5">
              <w:rPr>
                <w:sz w:val="20"/>
              </w:rPr>
              <w:t>km</w:t>
            </w:r>
            <w:r>
              <w:rPr>
                <w:sz w:val="20"/>
              </w:rPr>
              <w:t xml:space="preserve"> &amp; </w:t>
            </w:r>
            <w:r w:rsidRPr="004B02E5">
              <w:rPr>
                <w:sz w:val="20"/>
              </w:rPr>
              <w:t>gCO</w:t>
            </w:r>
            <w:r w:rsidRPr="004B02E5">
              <w:rPr>
                <w:sz w:val="20"/>
                <w:vertAlign w:val="subscript"/>
              </w:rPr>
              <w:t>2</w:t>
            </w:r>
            <w:r w:rsidRPr="004B02E5">
              <w:rPr>
                <w:sz w:val="20"/>
              </w:rPr>
              <w:t>/</w:t>
            </w:r>
            <w:r>
              <w:rPr>
                <w:sz w:val="20"/>
              </w:rPr>
              <w:t>t</w:t>
            </w:r>
            <w:r w:rsidRPr="004B02E5">
              <w:rPr>
                <w:sz w:val="20"/>
              </w:rPr>
              <w:t>km</w:t>
            </w:r>
          </w:p>
        </w:tc>
        <w:tc>
          <w:tcPr>
            <w:tcW w:w="6359" w:type="dxa"/>
            <w:shd w:val="clear" w:color="auto" w:fill="auto"/>
          </w:tcPr>
          <w:p w:rsidR="00CC0CF1" w:rsidRPr="004B02E5" w:rsidRDefault="00CC0CF1" w:rsidP="00CC0CF1">
            <w:pPr>
              <w:pStyle w:val="NoSpacing"/>
              <w:rPr>
                <w:sz w:val="20"/>
              </w:rPr>
            </w:pPr>
            <w:r w:rsidRPr="004B02E5">
              <w:rPr>
                <w:sz w:val="20"/>
              </w:rPr>
              <w:t xml:space="preserve">Core performance indicator for </w:t>
            </w:r>
            <w:r>
              <w:rPr>
                <w:sz w:val="20"/>
              </w:rPr>
              <w:t>rail GHG effectiveness; comparison with road performance indicator</w:t>
            </w:r>
          </w:p>
        </w:tc>
      </w:tr>
      <w:tr w:rsidR="00CC0CF1" w:rsidRPr="004B02E5" w:rsidTr="00977641">
        <w:tc>
          <w:tcPr>
            <w:tcW w:w="396" w:type="dxa"/>
            <w:shd w:val="clear" w:color="auto" w:fill="auto"/>
          </w:tcPr>
          <w:p w:rsidR="00CC0CF1" w:rsidRPr="004B02E5" w:rsidRDefault="00CC0CF1" w:rsidP="00CC0CF1">
            <w:pPr>
              <w:pStyle w:val="NoSpacing"/>
              <w:rPr>
                <w:sz w:val="20"/>
              </w:rPr>
            </w:pPr>
            <w:r>
              <w:rPr>
                <w:sz w:val="20"/>
              </w:rPr>
              <w:t>3</w:t>
            </w:r>
          </w:p>
        </w:tc>
        <w:tc>
          <w:tcPr>
            <w:tcW w:w="2241" w:type="dxa"/>
            <w:shd w:val="clear" w:color="auto" w:fill="auto"/>
          </w:tcPr>
          <w:p w:rsidR="00CC0CF1" w:rsidRPr="004B02E5" w:rsidRDefault="00CC0CF1" w:rsidP="00CC0CF1">
            <w:pPr>
              <w:pStyle w:val="NoSpacing"/>
              <w:rPr>
                <w:sz w:val="20"/>
              </w:rPr>
            </w:pPr>
            <w:r>
              <w:rPr>
                <w:sz w:val="20"/>
              </w:rPr>
              <w:t>pkm and tkm</w:t>
            </w:r>
          </w:p>
        </w:tc>
        <w:tc>
          <w:tcPr>
            <w:tcW w:w="6359" w:type="dxa"/>
            <w:shd w:val="clear" w:color="auto" w:fill="auto"/>
          </w:tcPr>
          <w:p w:rsidR="00CC0CF1" w:rsidRPr="004B02E5" w:rsidRDefault="00CC0CF1" w:rsidP="00CC0CF1">
            <w:pPr>
              <w:pStyle w:val="NoSpacing"/>
              <w:rPr>
                <w:sz w:val="20"/>
              </w:rPr>
            </w:pPr>
            <w:r w:rsidRPr="004B02E5">
              <w:rPr>
                <w:sz w:val="20"/>
              </w:rPr>
              <w:t xml:space="preserve">Core performance indicator for </w:t>
            </w:r>
            <w:r>
              <w:rPr>
                <w:sz w:val="20"/>
              </w:rPr>
              <w:t>absolute targets in transporting passengers and freights (absolute as well as growth rate)</w:t>
            </w:r>
          </w:p>
        </w:tc>
      </w:tr>
      <w:tr w:rsidR="00CC0CF1" w:rsidRPr="004B02E5" w:rsidTr="00977641">
        <w:tc>
          <w:tcPr>
            <w:tcW w:w="396" w:type="dxa"/>
            <w:shd w:val="clear" w:color="auto" w:fill="auto"/>
          </w:tcPr>
          <w:p w:rsidR="00CC0CF1" w:rsidRPr="004B02E5" w:rsidRDefault="00CC0CF1" w:rsidP="00CC0CF1">
            <w:pPr>
              <w:pStyle w:val="NoSpacing"/>
              <w:rPr>
                <w:sz w:val="20"/>
              </w:rPr>
            </w:pPr>
            <w:r>
              <w:rPr>
                <w:sz w:val="20"/>
              </w:rPr>
              <w:t>4</w:t>
            </w:r>
          </w:p>
        </w:tc>
        <w:tc>
          <w:tcPr>
            <w:tcW w:w="2241" w:type="dxa"/>
            <w:shd w:val="clear" w:color="auto" w:fill="auto"/>
          </w:tcPr>
          <w:p w:rsidR="00CC0CF1" w:rsidRPr="004B02E5" w:rsidRDefault="00CC0CF1" w:rsidP="00CC0CF1">
            <w:pPr>
              <w:pStyle w:val="NoSpacing"/>
              <w:rPr>
                <w:sz w:val="20"/>
              </w:rPr>
            </w:pPr>
            <w:r w:rsidRPr="004B02E5">
              <w:rPr>
                <w:sz w:val="20"/>
              </w:rPr>
              <w:t>tNO</w:t>
            </w:r>
            <w:r w:rsidRPr="004B02E5">
              <w:rPr>
                <w:sz w:val="20"/>
                <w:vertAlign w:val="subscript"/>
              </w:rPr>
              <w:t>x</w:t>
            </w:r>
            <w:r w:rsidRPr="004B02E5">
              <w:rPr>
                <w:sz w:val="20"/>
              </w:rPr>
              <w:t xml:space="preserve"> </w:t>
            </w:r>
            <w:r>
              <w:rPr>
                <w:sz w:val="20"/>
              </w:rPr>
              <w:t xml:space="preserve"> and tPM </w:t>
            </w:r>
            <w:r w:rsidRPr="004B02E5">
              <w:rPr>
                <w:sz w:val="20"/>
              </w:rPr>
              <w:t>reduced</w:t>
            </w:r>
          </w:p>
        </w:tc>
        <w:tc>
          <w:tcPr>
            <w:tcW w:w="6359" w:type="dxa"/>
            <w:shd w:val="clear" w:color="auto" w:fill="auto"/>
          </w:tcPr>
          <w:p w:rsidR="00CC0CF1" w:rsidRPr="004B02E5" w:rsidRDefault="00CC0CF1" w:rsidP="00CC0CF1">
            <w:pPr>
              <w:pStyle w:val="NoSpacing"/>
              <w:rPr>
                <w:sz w:val="20"/>
              </w:rPr>
            </w:pPr>
            <w:r w:rsidRPr="004B02E5">
              <w:rPr>
                <w:sz w:val="20"/>
              </w:rPr>
              <w:t xml:space="preserve">SD impact or outcome indicator </w:t>
            </w:r>
            <w:r>
              <w:rPr>
                <w:sz w:val="20"/>
              </w:rPr>
              <w:t>for air pollution</w:t>
            </w:r>
          </w:p>
        </w:tc>
      </w:tr>
      <w:tr w:rsidR="00CC0CF1" w:rsidRPr="004B02E5" w:rsidTr="00977641">
        <w:tc>
          <w:tcPr>
            <w:tcW w:w="396" w:type="dxa"/>
            <w:shd w:val="clear" w:color="auto" w:fill="auto"/>
          </w:tcPr>
          <w:p w:rsidR="00CC0CF1" w:rsidRPr="004B02E5" w:rsidRDefault="00CC0CF1" w:rsidP="00CC0CF1">
            <w:pPr>
              <w:pStyle w:val="NoSpacing"/>
              <w:rPr>
                <w:sz w:val="20"/>
              </w:rPr>
            </w:pPr>
            <w:r>
              <w:rPr>
                <w:sz w:val="20"/>
              </w:rPr>
              <w:t>5</w:t>
            </w:r>
          </w:p>
        </w:tc>
        <w:tc>
          <w:tcPr>
            <w:tcW w:w="2241" w:type="dxa"/>
            <w:shd w:val="clear" w:color="auto" w:fill="auto"/>
          </w:tcPr>
          <w:p w:rsidR="00CC0CF1" w:rsidRPr="004B02E5" w:rsidRDefault="00CC0CF1" w:rsidP="00CC0CF1">
            <w:pPr>
              <w:pStyle w:val="NoSpacing"/>
              <w:rPr>
                <w:sz w:val="20"/>
              </w:rPr>
            </w:pPr>
            <w:r>
              <w:rPr>
                <w:sz w:val="20"/>
              </w:rPr>
              <w:t>Fatalities reduced</w:t>
            </w:r>
          </w:p>
        </w:tc>
        <w:tc>
          <w:tcPr>
            <w:tcW w:w="6359" w:type="dxa"/>
            <w:shd w:val="clear" w:color="auto" w:fill="auto"/>
          </w:tcPr>
          <w:p w:rsidR="00CC0CF1" w:rsidRPr="004B02E5" w:rsidRDefault="00CC0CF1" w:rsidP="00CC0CF1">
            <w:pPr>
              <w:pStyle w:val="NoSpacing"/>
              <w:rPr>
                <w:sz w:val="20"/>
              </w:rPr>
            </w:pPr>
            <w:r w:rsidRPr="004B02E5">
              <w:rPr>
                <w:sz w:val="20"/>
              </w:rPr>
              <w:t xml:space="preserve">SD impact or outcome indicator </w:t>
            </w:r>
            <w:r>
              <w:rPr>
                <w:sz w:val="20"/>
              </w:rPr>
              <w:t>for accident rate</w:t>
            </w:r>
          </w:p>
        </w:tc>
      </w:tr>
      <w:tr w:rsidR="00CC0CF1" w:rsidRPr="004B02E5" w:rsidTr="00977641">
        <w:tc>
          <w:tcPr>
            <w:tcW w:w="396" w:type="dxa"/>
            <w:shd w:val="clear" w:color="auto" w:fill="auto"/>
          </w:tcPr>
          <w:p w:rsidR="00CC0CF1" w:rsidRPr="004B02E5" w:rsidRDefault="00CC0CF1" w:rsidP="00CC0CF1">
            <w:pPr>
              <w:pStyle w:val="NoSpacing"/>
              <w:rPr>
                <w:sz w:val="20"/>
              </w:rPr>
            </w:pPr>
            <w:r>
              <w:rPr>
                <w:sz w:val="20"/>
              </w:rPr>
              <w:t>6</w:t>
            </w:r>
          </w:p>
        </w:tc>
        <w:tc>
          <w:tcPr>
            <w:tcW w:w="2241" w:type="dxa"/>
            <w:shd w:val="clear" w:color="auto" w:fill="auto"/>
          </w:tcPr>
          <w:p w:rsidR="00CC0CF1" w:rsidRPr="004B02E5" w:rsidRDefault="00CC0CF1" w:rsidP="00CC0CF1">
            <w:pPr>
              <w:pStyle w:val="NoSpacing"/>
              <w:rPr>
                <w:sz w:val="20"/>
              </w:rPr>
            </w:pPr>
            <w:r>
              <w:rPr>
                <w:sz w:val="20"/>
              </w:rPr>
              <w:t>MUSD cost savings due to SD impacts</w:t>
            </w:r>
          </w:p>
        </w:tc>
        <w:tc>
          <w:tcPr>
            <w:tcW w:w="6359" w:type="dxa"/>
            <w:shd w:val="clear" w:color="auto" w:fill="auto"/>
          </w:tcPr>
          <w:p w:rsidR="00CC0CF1" w:rsidRPr="004B02E5" w:rsidRDefault="00CC0CF1" w:rsidP="00CC0CF1">
            <w:pPr>
              <w:pStyle w:val="NoSpacing"/>
              <w:rPr>
                <w:sz w:val="20"/>
              </w:rPr>
            </w:pPr>
            <w:r w:rsidRPr="004B02E5">
              <w:rPr>
                <w:sz w:val="20"/>
              </w:rPr>
              <w:t xml:space="preserve">SD impact or outcome indicator </w:t>
            </w:r>
            <w:r>
              <w:rPr>
                <w:sz w:val="20"/>
              </w:rPr>
              <w:t>expressed as sum of saved costs due to reduced fuel usage, air pollution and transportation fatalities</w:t>
            </w:r>
          </w:p>
        </w:tc>
      </w:tr>
      <w:tr w:rsidR="00CC0CF1" w:rsidRPr="004B02E5" w:rsidTr="00977641">
        <w:tc>
          <w:tcPr>
            <w:tcW w:w="396" w:type="dxa"/>
            <w:shd w:val="clear" w:color="auto" w:fill="auto"/>
          </w:tcPr>
          <w:p w:rsidR="00CC0CF1" w:rsidRPr="004B02E5" w:rsidRDefault="00CC0CF1" w:rsidP="00CC0CF1">
            <w:pPr>
              <w:pStyle w:val="NoSpacing"/>
              <w:rPr>
                <w:sz w:val="20"/>
              </w:rPr>
            </w:pPr>
            <w:r w:rsidRPr="004B02E5">
              <w:rPr>
                <w:sz w:val="20"/>
              </w:rPr>
              <w:t>7</w:t>
            </w:r>
          </w:p>
        </w:tc>
        <w:tc>
          <w:tcPr>
            <w:tcW w:w="2241" w:type="dxa"/>
            <w:shd w:val="clear" w:color="auto" w:fill="auto"/>
          </w:tcPr>
          <w:p w:rsidR="00CC0CF1" w:rsidRPr="004B02E5" w:rsidRDefault="00CC0CF1" w:rsidP="00CC0CF1">
            <w:pPr>
              <w:pStyle w:val="NoSpacing"/>
              <w:rPr>
                <w:sz w:val="20"/>
              </w:rPr>
            </w:pPr>
            <w:r w:rsidRPr="004B02E5">
              <w:rPr>
                <w:sz w:val="20"/>
              </w:rPr>
              <w:t># of implementation actions</w:t>
            </w:r>
          </w:p>
        </w:tc>
        <w:tc>
          <w:tcPr>
            <w:tcW w:w="6359" w:type="dxa"/>
            <w:shd w:val="clear" w:color="auto" w:fill="auto"/>
          </w:tcPr>
          <w:p w:rsidR="00CC0CF1" w:rsidRPr="004B02E5" w:rsidRDefault="00CC0CF1" w:rsidP="00CC0CF1">
            <w:pPr>
              <w:pStyle w:val="NoSpacing"/>
              <w:rPr>
                <w:sz w:val="20"/>
              </w:rPr>
            </w:pPr>
            <w:r w:rsidRPr="004B02E5">
              <w:rPr>
                <w:sz w:val="20"/>
              </w:rPr>
              <w:t xml:space="preserve">Output indicator; Includes </w:t>
            </w:r>
            <w:r>
              <w:rPr>
                <w:sz w:val="20"/>
              </w:rPr>
              <w:t>km of new built tracks, km new built double or multiple tracks, number of new locos, carriages, wagons</w:t>
            </w:r>
            <w:r w:rsidRPr="004B02E5">
              <w:rPr>
                <w:sz w:val="20"/>
              </w:rPr>
              <w:t xml:space="preserve"> </w:t>
            </w:r>
          </w:p>
        </w:tc>
      </w:tr>
      <w:tr w:rsidR="00CC0CF1" w:rsidRPr="004B02E5" w:rsidTr="00977641">
        <w:tc>
          <w:tcPr>
            <w:tcW w:w="396" w:type="dxa"/>
            <w:shd w:val="clear" w:color="auto" w:fill="auto"/>
          </w:tcPr>
          <w:p w:rsidR="00CC0CF1" w:rsidRPr="004B02E5" w:rsidRDefault="00CC0CF1" w:rsidP="00CC0CF1">
            <w:pPr>
              <w:pStyle w:val="NoSpacing"/>
              <w:rPr>
                <w:sz w:val="20"/>
              </w:rPr>
            </w:pPr>
            <w:r w:rsidRPr="004B02E5">
              <w:rPr>
                <w:sz w:val="20"/>
              </w:rPr>
              <w:t>8</w:t>
            </w:r>
          </w:p>
        </w:tc>
        <w:tc>
          <w:tcPr>
            <w:tcW w:w="2241" w:type="dxa"/>
            <w:shd w:val="clear" w:color="auto" w:fill="auto"/>
          </w:tcPr>
          <w:p w:rsidR="00CC0CF1" w:rsidRPr="004B02E5" w:rsidRDefault="00CC0CF1" w:rsidP="00CC0CF1">
            <w:pPr>
              <w:pStyle w:val="NoSpacing"/>
              <w:rPr>
                <w:sz w:val="20"/>
              </w:rPr>
            </w:pPr>
            <w:r w:rsidRPr="004B02E5">
              <w:rPr>
                <w:sz w:val="20"/>
              </w:rPr>
              <w:t>USD invested in actions</w:t>
            </w:r>
          </w:p>
        </w:tc>
        <w:tc>
          <w:tcPr>
            <w:tcW w:w="6359" w:type="dxa"/>
            <w:shd w:val="clear" w:color="auto" w:fill="auto"/>
          </w:tcPr>
          <w:p w:rsidR="00CC0CF1" w:rsidRPr="004B02E5" w:rsidRDefault="00CC0CF1" w:rsidP="00CC0CF1">
            <w:pPr>
              <w:pStyle w:val="NoSpacing"/>
              <w:rPr>
                <w:sz w:val="20"/>
              </w:rPr>
            </w:pPr>
            <w:r>
              <w:rPr>
                <w:sz w:val="20"/>
              </w:rPr>
              <w:t>Output indicator includes new investment in rail infrastructure</w:t>
            </w:r>
          </w:p>
        </w:tc>
      </w:tr>
    </w:tbl>
    <w:p w:rsidR="00977641" w:rsidRDefault="00977641" w:rsidP="00977641">
      <w:pPr>
        <w:pStyle w:val="NoSpacing"/>
      </w:pPr>
    </w:p>
    <w:p w:rsidR="00977641" w:rsidRPr="00187E68" w:rsidRDefault="00187E68" w:rsidP="00187E68">
      <w:pPr>
        <w:pStyle w:val="NoSpacing"/>
        <w:rPr>
          <w:b/>
          <w:sz w:val="20"/>
        </w:rPr>
      </w:pPr>
      <w:r w:rsidRPr="00187E68">
        <w:rPr>
          <w:b/>
          <w:sz w:val="20"/>
        </w:rPr>
        <w:t xml:space="preserve">Table </w:t>
      </w:r>
      <w:r w:rsidRPr="00187E68">
        <w:rPr>
          <w:b/>
          <w:sz w:val="20"/>
        </w:rPr>
        <w:fldChar w:fldCharType="begin"/>
      </w:r>
      <w:r w:rsidRPr="00187E68">
        <w:rPr>
          <w:b/>
          <w:sz w:val="20"/>
        </w:rPr>
        <w:instrText xml:space="preserve"> SEQ Table \* ARABIC </w:instrText>
      </w:r>
      <w:r w:rsidRPr="00187E68">
        <w:rPr>
          <w:b/>
          <w:sz w:val="20"/>
        </w:rPr>
        <w:fldChar w:fldCharType="separate"/>
      </w:r>
      <w:r w:rsidR="00AC6EDE">
        <w:rPr>
          <w:b/>
          <w:noProof/>
          <w:sz w:val="20"/>
        </w:rPr>
        <w:t>14</w:t>
      </w:r>
      <w:r w:rsidRPr="00187E68">
        <w:rPr>
          <w:b/>
          <w:sz w:val="20"/>
        </w:rPr>
        <w:fldChar w:fldCharType="end"/>
      </w:r>
      <w:r w:rsidR="00977641" w:rsidRPr="00187E68">
        <w:rPr>
          <w:b/>
          <w:sz w:val="20"/>
        </w:rPr>
        <w:t xml:space="preserve">: </w:t>
      </w:r>
      <w:r w:rsidR="004003AD" w:rsidRPr="00187E68">
        <w:rPr>
          <w:b/>
          <w:sz w:val="20"/>
        </w:rPr>
        <w:t xml:space="preserve">Annually </w:t>
      </w:r>
      <w:r w:rsidR="00977641" w:rsidRPr="00187E68">
        <w:rPr>
          <w:b/>
          <w:sz w:val="20"/>
        </w:rPr>
        <w:t xml:space="preserve">Monitored Parameters </w:t>
      </w:r>
    </w:p>
    <w:tbl>
      <w:tblPr>
        <w:tblW w:w="0" w:type="auto"/>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firstRow="1" w:lastRow="0" w:firstColumn="1" w:lastColumn="0" w:noHBand="0" w:noVBand="1"/>
      </w:tblPr>
      <w:tblGrid>
        <w:gridCol w:w="396"/>
        <w:gridCol w:w="1129"/>
        <w:gridCol w:w="7471"/>
      </w:tblGrid>
      <w:tr w:rsidR="00977641" w:rsidRPr="004B02E5" w:rsidTr="004003AD">
        <w:tc>
          <w:tcPr>
            <w:tcW w:w="396" w:type="dxa"/>
            <w:shd w:val="clear" w:color="auto" w:fill="C6D9F1"/>
          </w:tcPr>
          <w:p w:rsidR="00977641" w:rsidRPr="004B02E5" w:rsidRDefault="00977641" w:rsidP="003444B1">
            <w:pPr>
              <w:pStyle w:val="NoSpacing"/>
              <w:rPr>
                <w:b/>
                <w:sz w:val="20"/>
              </w:rPr>
            </w:pPr>
            <w:r w:rsidRPr="004B02E5">
              <w:rPr>
                <w:b/>
                <w:sz w:val="20"/>
              </w:rPr>
              <w:t>ID</w:t>
            </w:r>
          </w:p>
        </w:tc>
        <w:tc>
          <w:tcPr>
            <w:tcW w:w="1129" w:type="dxa"/>
            <w:shd w:val="clear" w:color="auto" w:fill="C6D9F1"/>
          </w:tcPr>
          <w:p w:rsidR="00977641" w:rsidRPr="004B02E5" w:rsidRDefault="00977641" w:rsidP="003444B1">
            <w:pPr>
              <w:pStyle w:val="NoSpacing"/>
              <w:rPr>
                <w:b/>
                <w:sz w:val="20"/>
              </w:rPr>
            </w:pPr>
            <w:r w:rsidRPr="004B02E5">
              <w:rPr>
                <w:b/>
                <w:sz w:val="20"/>
              </w:rPr>
              <w:t>Parameter</w:t>
            </w:r>
          </w:p>
        </w:tc>
        <w:tc>
          <w:tcPr>
            <w:tcW w:w="7471" w:type="dxa"/>
            <w:shd w:val="clear" w:color="auto" w:fill="C6D9F1"/>
          </w:tcPr>
          <w:p w:rsidR="00977641" w:rsidRPr="004B02E5" w:rsidRDefault="00977641" w:rsidP="003444B1">
            <w:pPr>
              <w:pStyle w:val="NoSpacing"/>
              <w:rPr>
                <w:b/>
                <w:sz w:val="20"/>
              </w:rPr>
            </w:pPr>
            <w:r w:rsidRPr="004B02E5">
              <w:rPr>
                <w:b/>
                <w:sz w:val="20"/>
              </w:rPr>
              <w:t>Description</w:t>
            </w:r>
          </w:p>
        </w:tc>
      </w:tr>
      <w:tr w:rsidR="00977641" w:rsidRPr="004B02E5" w:rsidTr="004003AD">
        <w:tc>
          <w:tcPr>
            <w:tcW w:w="396" w:type="dxa"/>
            <w:shd w:val="clear" w:color="auto" w:fill="auto"/>
          </w:tcPr>
          <w:p w:rsidR="00977641" w:rsidRPr="004B02E5" w:rsidRDefault="00977641" w:rsidP="003444B1">
            <w:pPr>
              <w:pStyle w:val="NoSpacing"/>
              <w:rPr>
                <w:sz w:val="20"/>
              </w:rPr>
            </w:pPr>
            <w:r w:rsidRPr="004B02E5">
              <w:rPr>
                <w:sz w:val="20"/>
              </w:rPr>
              <w:t>1</w:t>
            </w:r>
          </w:p>
        </w:tc>
        <w:tc>
          <w:tcPr>
            <w:tcW w:w="1129" w:type="dxa"/>
            <w:shd w:val="clear" w:color="auto" w:fill="auto"/>
          </w:tcPr>
          <w:p w:rsidR="00977641" w:rsidRPr="004B02E5" w:rsidRDefault="00977641" w:rsidP="003444B1">
            <w:pPr>
              <w:pStyle w:val="NoSpacing"/>
              <w:rPr>
                <w:sz w:val="20"/>
              </w:rPr>
            </w:pPr>
            <w:r w:rsidRPr="004B02E5">
              <w:rPr>
                <w:sz w:val="20"/>
              </w:rPr>
              <w:t>FC</w:t>
            </w:r>
          </w:p>
        </w:tc>
        <w:tc>
          <w:tcPr>
            <w:tcW w:w="7471" w:type="dxa"/>
            <w:shd w:val="clear" w:color="auto" w:fill="auto"/>
          </w:tcPr>
          <w:p w:rsidR="00977641" w:rsidRPr="004B02E5" w:rsidRDefault="00977641" w:rsidP="004003AD">
            <w:pPr>
              <w:pStyle w:val="NoSpacing"/>
              <w:rPr>
                <w:sz w:val="20"/>
              </w:rPr>
            </w:pPr>
            <w:r w:rsidRPr="004B02E5">
              <w:rPr>
                <w:sz w:val="20"/>
              </w:rPr>
              <w:t xml:space="preserve">Fuel consumption </w:t>
            </w:r>
            <w:r w:rsidR="004003AD">
              <w:rPr>
                <w:sz w:val="20"/>
              </w:rPr>
              <w:t>rail</w:t>
            </w:r>
          </w:p>
        </w:tc>
      </w:tr>
      <w:tr w:rsidR="00977641" w:rsidRPr="004B02E5" w:rsidTr="004003AD">
        <w:tc>
          <w:tcPr>
            <w:tcW w:w="396" w:type="dxa"/>
            <w:shd w:val="clear" w:color="auto" w:fill="auto"/>
          </w:tcPr>
          <w:p w:rsidR="00977641" w:rsidRPr="004B02E5" w:rsidRDefault="00977641" w:rsidP="003444B1">
            <w:pPr>
              <w:pStyle w:val="NoSpacing"/>
              <w:rPr>
                <w:sz w:val="20"/>
              </w:rPr>
            </w:pPr>
            <w:r w:rsidRPr="004B02E5">
              <w:rPr>
                <w:sz w:val="20"/>
              </w:rPr>
              <w:t>2</w:t>
            </w:r>
          </w:p>
        </w:tc>
        <w:tc>
          <w:tcPr>
            <w:tcW w:w="1129" w:type="dxa"/>
            <w:shd w:val="clear" w:color="auto" w:fill="auto"/>
          </w:tcPr>
          <w:p w:rsidR="00977641" w:rsidRPr="004B02E5" w:rsidRDefault="004003AD" w:rsidP="003444B1">
            <w:pPr>
              <w:pStyle w:val="NoSpacing"/>
              <w:rPr>
                <w:sz w:val="20"/>
              </w:rPr>
            </w:pPr>
            <w:r>
              <w:rPr>
                <w:sz w:val="20"/>
              </w:rPr>
              <w:t>pkm / tkm</w:t>
            </w:r>
          </w:p>
        </w:tc>
        <w:tc>
          <w:tcPr>
            <w:tcW w:w="7471" w:type="dxa"/>
            <w:shd w:val="clear" w:color="auto" w:fill="auto"/>
          </w:tcPr>
          <w:p w:rsidR="00977641" w:rsidRPr="004B02E5" w:rsidRDefault="004003AD" w:rsidP="003444B1">
            <w:pPr>
              <w:pStyle w:val="NoSpacing"/>
              <w:rPr>
                <w:sz w:val="20"/>
              </w:rPr>
            </w:pPr>
            <w:r>
              <w:rPr>
                <w:sz w:val="20"/>
              </w:rPr>
              <w:t>Passenger numbers and freight tons as well as average lead</w:t>
            </w:r>
          </w:p>
        </w:tc>
      </w:tr>
      <w:tr w:rsidR="00977641" w:rsidRPr="004B02E5" w:rsidTr="004003AD">
        <w:tc>
          <w:tcPr>
            <w:tcW w:w="396" w:type="dxa"/>
            <w:shd w:val="clear" w:color="auto" w:fill="auto"/>
          </w:tcPr>
          <w:p w:rsidR="00977641" w:rsidRPr="004B02E5" w:rsidRDefault="004003AD" w:rsidP="003444B1">
            <w:pPr>
              <w:pStyle w:val="NoSpacing"/>
              <w:rPr>
                <w:sz w:val="20"/>
              </w:rPr>
            </w:pPr>
            <w:r>
              <w:rPr>
                <w:sz w:val="20"/>
              </w:rPr>
              <w:t>3</w:t>
            </w:r>
          </w:p>
        </w:tc>
        <w:tc>
          <w:tcPr>
            <w:tcW w:w="1129" w:type="dxa"/>
            <w:shd w:val="clear" w:color="auto" w:fill="auto"/>
          </w:tcPr>
          <w:p w:rsidR="00977641" w:rsidRPr="004B02E5" w:rsidRDefault="00B35D02" w:rsidP="003444B1">
            <w:pPr>
              <w:pStyle w:val="NoSpacing"/>
              <w:rPr>
                <w:sz w:val="20"/>
              </w:rPr>
            </w:pPr>
            <w:r>
              <w:rPr>
                <w:sz w:val="20"/>
              </w:rPr>
              <w:t>R</w:t>
            </w:r>
            <w:r w:rsidR="00977641" w:rsidRPr="004B02E5">
              <w:rPr>
                <w:sz w:val="20"/>
              </w:rPr>
              <w:t>FP</w:t>
            </w:r>
          </w:p>
        </w:tc>
        <w:tc>
          <w:tcPr>
            <w:tcW w:w="7471" w:type="dxa"/>
            <w:shd w:val="clear" w:color="auto" w:fill="auto"/>
          </w:tcPr>
          <w:p w:rsidR="00977641" w:rsidRPr="004B02E5" w:rsidRDefault="00B35D02" w:rsidP="003444B1">
            <w:pPr>
              <w:pStyle w:val="NoSpacing"/>
              <w:rPr>
                <w:sz w:val="20"/>
              </w:rPr>
            </w:pPr>
            <w:r>
              <w:rPr>
                <w:sz w:val="20"/>
              </w:rPr>
              <w:t>Reference f</w:t>
            </w:r>
            <w:r w:rsidR="00977641" w:rsidRPr="004B02E5">
              <w:rPr>
                <w:sz w:val="20"/>
              </w:rPr>
              <w:t xml:space="preserve">uel price; required for determination of the monetized SD impact. </w:t>
            </w:r>
          </w:p>
        </w:tc>
      </w:tr>
      <w:tr w:rsidR="00977641" w:rsidRPr="004B02E5" w:rsidTr="004003AD">
        <w:tc>
          <w:tcPr>
            <w:tcW w:w="396" w:type="dxa"/>
            <w:shd w:val="clear" w:color="auto" w:fill="auto"/>
          </w:tcPr>
          <w:p w:rsidR="00977641" w:rsidRPr="004B02E5" w:rsidRDefault="004003AD" w:rsidP="003444B1">
            <w:pPr>
              <w:pStyle w:val="NoSpacing"/>
              <w:rPr>
                <w:sz w:val="20"/>
              </w:rPr>
            </w:pPr>
            <w:r>
              <w:rPr>
                <w:sz w:val="20"/>
              </w:rPr>
              <w:t>4</w:t>
            </w:r>
          </w:p>
        </w:tc>
        <w:tc>
          <w:tcPr>
            <w:tcW w:w="1129" w:type="dxa"/>
            <w:shd w:val="clear" w:color="auto" w:fill="auto"/>
          </w:tcPr>
          <w:p w:rsidR="00977641" w:rsidRPr="004B02E5" w:rsidRDefault="004003AD" w:rsidP="003444B1">
            <w:pPr>
              <w:pStyle w:val="NoSpacing"/>
              <w:rPr>
                <w:sz w:val="20"/>
              </w:rPr>
            </w:pPr>
            <w:r>
              <w:rPr>
                <w:sz w:val="20"/>
              </w:rPr>
              <w:t xml:space="preserve">Fatalities </w:t>
            </w:r>
          </w:p>
        </w:tc>
        <w:tc>
          <w:tcPr>
            <w:tcW w:w="7471" w:type="dxa"/>
            <w:shd w:val="clear" w:color="auto" w:fill="auto"/>
          </w:tcPr>
          <w:p w:rsidR="00977641" w:rsidRPr="004B02E5" w:rsidRDefault="004003AD" w:rsidP="003444B1">
            <w:pPr>
              <w:pStyle w:val="NoSpacing"/>
              <w:rPr>
                <w:sz w:val="20"/>
              </w:rPr>
            </w:pPr>
            <w:r>
              <w:rPr>
                <w:sz w:val="20"/>
              </w:rPr>
              <w:t>Rail fatalities required for determination of the SD impact</w:t>
            </w:r>
          </w:p>
        </w:tc>
      </w:tr>
    </w:tbl>
    <w:p w:rsidR="004003AD" w:rsidRDefault="004003AD" w:rsidP="00977641">
      <w:pPr>
        <w:pStyle w:val="NoSpacing"/>
      </w:pPr>
    </w:p>
    <w:p w:rsidR="004003AD" w:rsidRPr="00A43486" w:rsidRDefault="004003AD" w:rsidP="00A43486">
      <w:pPr>
        <w:jc w:val="both"/>
      </w:pPr>
      <w:r>
        <w:t xml:space="preserve">All annually required parameters are already monitored and reported by BR i.e. no additional effort is required for this part. </w:t>
      </w:r>
    </w:p>
    <w:p w:rsidR="004003AD" w:rsidRPr="00187E68" w:rsidRDefault="00187E68" w:rsidP="00187E68">
      <w:pPr>
        <w:pStyle w:val="NoSpacing"/>
        <w:rPr>
          <w:b/>
          <w:sz w:val="20"/>
          <w:szCs w:val="20"/>
        </w:rPr>
      </w:pPr>
      <w:r>
        <w:rPr>
          <w:b/>
          <w:sz w:val="20"/>
          <w:szCs w:val="20"/>
        </w:rPr>
        <w:br w:type="column"/>
      </w:r>
      <w:r w:rsidRPr="00187E68">
        <w:rPr>
          <w:b/>
          <w:sz w:val="20"/>
          <w:szCs w:val="20"/>
        </w:rPr>
        <w:lastRenderedPageBreak/>
        <w:t xml:space="preserve">Table </w:t>
      </w:r>
      <w:r w:rsidRPr="00187E68">
        <w:rPr>
          <w:b/>
          <w:sz w:val="20"/>
          <w:szCs w:val="20"/>
        </w:rPr>
        <w:fldChar w:fldCharType="begin"/>
      </w:r>
      <w:r w:rsidRPr="00187E68">
        <w:rPr>
          <w:b/>
          <w:sz w:val="20"/>
          <w:szCs w:val="20"/>
        </w:rPr>
        <w:instrText xml:space="preserve"> SEQ Table \* ARABIC </w:instrText>
      </w:r>
      <w:r w:rsidRPr="00187E68">
        <w:rPr>
          <w:b/>
          <w:sz w:val="20"/>
          <w:szCs w:val="20"/>
        </w:rPr>
        <w:fldChar w:fldCharType="separate"/>
      </w:r>
      <w:r w:rsidR="00AC6EDE">
        <w:rPr>
          <w:b/>
          <w:noProof/>
          <w:sz w:val="20"/>
          <w:szCs w:val="20"/>
        </w:rPr>
        <w:t>15</w:t>
      </w:r>
      <w:r w:rsidRPr="00187E68">
        <w:rPr>
          <w:b/>
          <w:sz w:val="20"/>
          <w:szCs w:val="20"/>
        </w:rPr>
        <w:fldChar w:fldCharType="end"/>
      </w:r>
      <w:r w:rsidR="004003AD" w:rsidRPr="00187E68">
        <w:rPr>
          <w:b/>
          <w:sz w:val="20"/>
          <w:szCs w:val="20"/>
        </w:rPr>
        <w:t>: Parameters Monit</w:t>
      </w:r>
      <w:r w:rsidR="00A43486" w:rsidRPr="00187E68">
        <w:rPr>
          <w:b/>
          <w:sz w:val="20"/>
          <w:szCs w:val="20"/>
        </w:rPr>
        <w:t xml:space="preserve">ored every </w:t>
      </w:r>
      <w:r w:rsidR="004003AD" w:rsidRPr="00187E68">
        <w:rPr>
          <w:b/>
          <w:sz w:val="20"/>
          <w:szCs w:val="20"/>
        </w:rPr>
        <w:t>5 Years</w:t>
      </w:r>
      <w:r w:rsidR="00A43486" w:rsidRPr="00187E68">
        <w:rPr>
          <w:rStyle w:val="FootnoteReference"/>
          <w:b/>
          <w:sz w:val="20"/>
          <w:szCs w:val="20"/>
        </w:rPr>
        <w:footnoteReference w:id="66"/>
      </w:r>
      <w:r w:rsidR="004003AD" w:rsidRPr="00187E68">
        <w:rPr>
          <w:b/>
          <w:sz w:val="20"/>
          <w:szCs w:val="20"/>
        </w:rPr>
        <w:t xml:space="preserve"> </w:t>
      </w:r>
    </w:p>
    <w:tbl>
      <w:tblPr>
        <w:tblW w:w="0" w:type="auto"/>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396"/>
        <w:gridCol w:w="1129"/>
        <w:gridCol w:w="7471"/>
      </w:tblGrid>
      <w:tr w:rsidR="004003AD" w:rsidRPr="004B02E5" w:rsidTr="004003AD">
        <w:tc>
          <w:tcPr>
            <w:tcW w:w="396" w:type="dxa"/>
            <w:shd w:val="clear" w:color="auto" w:fill="C6D9F1"/>
          </w:tcPr>
          <w:p w:rsidR="004003AD" w:rsidRPr="004B02E5" w:rsidRDefault="004003AD" w:rsidP="003444B1">
            <w:pPr>
              <w:pStyle w:val="NoSpacing"/>
              <w:rPr>
                <w:b/>
                <w:sz w:val="20"/>
              </w:rPr>
            </w:pPr>
            <w:r w:rsidRPr="004B02E5">
              <w:rPr>
                <w:b/>
                <w:sz w:val="20"/>
              </w:rPr>
              <w:t>ID</w:t>
            </w:r>
          </w:p>
        </w:tc>
        <w:tc>
          <w:tcPr>
            <w:tcW w:w="1129" w:type="dxa"/>
            <w:shd w:val="clear" w:color="auto" w:fill="C6D9F1"/>
          </w:tcPr>
          <w:p w:rsidR="004003AD" w:rsidRPr="004B02E5" w:rsidRDefault="004003AD" w:rsidP="003444B1">
            <w:pPr>
              <w:pStyle w:val="NoSpacing"/>
              <w:rPr>
                <w:b/>
                <w:sz w:val="20"/>
              </w:rPr>
            </w:pPr>
            <w:r w:rsidRPr="004B02E5">
              <w:rPr>
                <w:b/>
                <w:sz w:val="20"/>
              </w:rPr>
              <w:t>Parameter</w:t>
            </w:r>
          </w:p>
        </w:tc>
        <w:tc>
          <w:tcPr>
            <w:tcW w:w="7471" w:type="dxa"/>
            <w:shd w:val="clear" w:color="auto" w:fill="C6D9F1"/>
          </w:tcPr>
          <w:p w:rsidR="004003AD" w:rsidRPr="004B02E5" w:rsidRDefault="004003AD" w:rsidP="003444B1">
            <w:pPr>
              <w:pStyle w:val="NoSpacing"/>
              <w:rPr>
                <w:b/>
                <w:sz w:val="20"/>
              </w:rPr>
            </w:pPr>
            <w:r w:rsidRPr="004B02E5">
              <w:rPr>
                <w:b/>
                <w:sz w:val="20"/>
              </w:rPr>
              <w:t>Description</w:t>
            </w:r>
          </w:p>
        </w:tc>
      </w:tr>
      <w:tr w:rsidR="004003AD" w:rsidRPr="004B02E5" w:rsidTr="004003AD">
        <w:tc>
          <w:tcPr>
            <w:tcW w:w="396" w:type="dxa"/>
            <w:shd w:val="clear" w:color="auto" w:fill="auto"/>
          </w:tcPr>
          <w:p w:rsidR="004003AD" w:rsidRPr="004B02E5" w:rsidRDefault="004003AD" w:rsidP="003444B1">
            <w:pPr>
              <w:pStyle w:val="NoSpacing"/>
              <w:rPr>
                <w:sz w:val="20"/>
              </w:rPr>
            </w:pPr>
            <w:r w:rsidRPr="004B02E5">
              <w:rPr>
                <w:sz w:val="20"/>
              </w:rPr>
              <w:t>1</w:t>
            </w:r>
          </w:p>
        </w:tc>
        <w:tc>
          <w:tcPr>
            <w:tcW w:w="1129" w:type="dxa"/>
            <w:shd w:val="clear" w:color="auto" w:fill="auto"/>
          </w:tcPr>
          <w:p w:rsidR="004003AD" w:rsidRPr="004B02E5" w:rsidRDefault="00D428D0" w:rsidP="003444B1">
            <w:pPr>
              <w:pStyle w:val="NoSpacing"/>
              <w:rPr>
                <w:sz w:val="20"/>
              </w:rPr>
            </w:pPr>
            <w:r>
              <w:rPr>
                <w:sz w:val="20"/>
              </w:rPr>
              <w:t>SFC</w:t>
            </w:r>
            <w:r w:rsidRPr="00D428D0">
              <w:rPr>
                <w:sz w:val="20"/>
                <w:vertAlign w:val="subscript"/>
              </w:rPr>
              <w:t>B/T</w:t>
            </w:r>
          </w:p>
        </w:tc>
        <w:tc>
          <w:tcPr>
            <w:tcW w:w="7471" w:type="dxa"/>
            <w:shd w:val="clear" w:color="auto" w:fill="auto"/>
          </w:tcPr>
          <w:p w:rsidR="004003AD" w:rsidRPr="004B02E5" w:rsidRDefault="00D428D0" w:rsidP="003444B1">
            <w:pPr>
              <w:pStyle w:val="NoSpacing"/>
              <w:rPr>
                <w:sz w:val="20"/>
              </w:rPr>
            </w:pPr>
            <w:r>
              <w:rPr>
                <w:sz w:val="20"/>
              </w:rPr>
              <w:t>Specific fuel consumption of inter-urban buses and trucks</w:t>
            </w:r>
          </w:p>
        </w:tc>
      </w:tr>
      <w:tr w:rsidR="004003AD" w:rsidRPr="004B02E5" w:rsidTr="004003AD">
        <w:tc>
          <w:tcPr>
            <w:tcW w:w="396" w:type="dxa"/>
            <w:shd w:val="clear" w:color="auto" w:fill="auto"/>
          </w:tcPr>
          <w:p w:rsidR="004003AD" w:rsidRPr="004B02E5" w:rsidRDefault="004003AD" w:rsidP="003444B1">
            <w:pPr>
              <w:pStyle w:val="NoSpacing"/>
              <w:rPr>
                <w:sz w:val="20"/>
              </w:rPr>
            </w:pPr>
            <w:r w:rsidRPr="004B02E5">
              <w:rPr>
                <w:sz w:val="20"/>
              </w:rPr>
              <w:t>2</w:t>
            </w:r>
          </w:p>
        </w:tc>
        <w:tc>
          <w:tcPr>
            <w:tcW w:w="1129" w:type="dxa"/>
            <w:shd w:val="clear" w:color="auto" w:fill="auto"/>
          </w:tcPr>
          <w:p w:rsidR="004003AD" w:rsidRPr="004B02E5" w:rsidRDefault="00D428D0" w:rsidP="003444B1">
            <w:pPr>
              <w:pStyle w:val="NoSpacing"/>
              <w:rPr>
                <w:sz w:val="20"/>
              </w:rPr>
            </w:pPr>
            <w:r>
              <w:rPr>
                <w:sz w:val="20"/>
              </w:rPr>
              <w:t>OC</w:t>
            </w:r>
            <w:r w:rsidRPr="00D428D0">
              <w:rPr>
                <w:sz w:val="20"/>
                <w:vertAlign w:val="subscript"/>
              </w:rPr>
              <w:t>B/T</w:t>
            </w:r>
          </w:p>
        </w:tc>
        <w:tc>
          <w:tcPr>
            <w:tcW w:w="7471" w:type="dxa"/>
            <w:shd w:val="clear" w:color="auto" w:fill="auto"/>
          </w:tcPr>
          <w:p w:rsidR="004003AD" w:rsidRPr="004B02E5" w:rsidRDefault="00D428D0" w:rsidP="003444B1">
            <w:pPr>
              <w:pStyle w:val="NoSpacing"/>
              <w:rPr>
                <w:sz w:val="20"/>
              </w:rPr>
            </w:pPr>
            <w:r>
              <w:rPr>
                <w:sz w:val="20"/>
              </w:rPr>
              <w:t>Occupation rates of inter-urban buses and load factors of inter-urban trucks</w:t>
            </w:r>
          </w:p>
        </w:tc>
      </w:tr>
      <w:tr w:rsidR="004003AD" w:rsidRPr="004B02E5" w:rsidTr="004003AD">
        <w:tc>
          <w:tcPr>
            <w:tcW w:w="396" w:type="dxa"/>
            <w:shd w:val="clear" w:color="auto" w:fill="auto"/>
          </w:tcPr>
          <w:p w:rsidR="004003AD" w:rsidRPr="004B02E5" w:rsidRDefault="004003AD" w:rsidP="003444B1">
            <w:pPr>
              <w:pStyle w:val="NoSpacing"/>
              <w:rPr>
                <w:sz w:val="20"/>
              </w:rPr>
            </w:pPr>
            <w:r>
              <w:rPr>
                <w:sz w:val="20"/>
              </w:rPr>
              <w:t>3</w:t>
            </w:r>
          </w:p>
        </w:tc>
        <w:tc>
          <w:tcPr>
            <w:tcW w:w="1129" w:type="dxa"/>
            <w:shd w:val="clear" w:color="auto" w:fill="auto"/>
          </w:tcPr>
          <w:p w:rsidR="004003AD" w:rsidRPr="004B02E5" w:rsidRDefault="00D428D0" w:rsidP="003444B1">
            <w:pPr>
              <w:pStyle w:val="NoSpacing"/>
              <w:rPr>
                <w:sz w:val="20"/>
              </w:rPr>
            </w:pPr>
            <w:r>
              <w:rPr>
                <w:sz w:val="20"/>
              </w:rPr>
              <w:t>MS</w:t>
            </w:r>
          </w:p>
        </w:tc>
        <w:tc>
          <w:tcPr>
            <w:tcW w:w="7471" w:type="dxa"/>
            <w:shd w:val="clear" w:color="auto" w:fill="auto"/>
          </w:tcPr>
          <w:p w:rsidR="004003AD" w:rsidRPr="004B02E5" w:rsidRDefault="00D428D0" w:rsidP="003444B1">
            <w:pPr>
              <w:pStyle w:val="NoSpacing"/>
              <w:rPr>
                <w:sz w:val="20"/>
              </w:rPr>
            </w:pPr>
            <w:r>
              <w:rPr>
                <w:sz w:val="20"/>
              </w:rPr>
              <w:t>Mode share of rail passenger users concerning transport mean they would have used in absence of rail (distance weighted)</w:t>
            </w:r>
          </w:p>
        </w:tc>
      </w:tr>
    </w:tbl>
    <w:p w:rsidR="004003AD" w:rsidRDefault="004003AD" w:rsidP="00977641">
      <w:pPr>
        <w:pStyle w:val="NoSpacing"/>
      </w:pPr>
    </w:p>
    <w:p w:rsidR="00765C2F" w:rsidRDefault="00765C2F" w:rsidP="0079029B">
      <w:pPr>
        <w:pStyle w:val="NoSpacing"/>
        <w:jc w:val="both"/>
      </w:pPr>
      <w:r>
        <w:t xml:space="preserve">The mode share survey </w:t>
      </w:r>
      <w:r w:rsidR="0079029B">
        <w:t xml:space="preserve">not necessarily needs to be realized. The initial survey resulted in 100% of additional rail users taking the bus. Using the same value in the future is conservative as it can be assumed that with increased income private cars will be more common. If this potential additional emission reduction shall be quantified in the future </w:t>
      </w:r>
      <w:r w:rsidR="00932907">
        <w:t>a passenger survey would need to</w:t>
      </w:r>
      <w:r w:rsidR="0079029B">
        <w:t xml:space="preserve"> be </w:t>
      </w:r>
      <w:r w:rsidR="00932907">
        <w:t>realized w</w:t>
      </w:r>
      <w:r w:rsidR="0079029B">
        <w:t xml:space="preserve">hich can however be combined with a regular BR passenger survey to monitor quality of services and customer satisfaction (in India the survey has been combined with a regular passenger survey). </w:t>
      </w:r>
    </w:p>
    <w:p w:rsidR="00765C2F" w:rsidRDefault="00765C2F" w:rsidP="00977641">
      <w:pPr>
        <w:pStyle w:val="NoSpacing"/>
      </w:pPr>
    </w:p>
    <w:p w:rsidR="00977641" w:rsidRPr="00187E68" w:rsidRDefault="00187E68" w:rsidP="00187E68">
      <w:pPr>
        <w:pStyle w:val="NoSpacing"/>
        <w:rPr>
          <w:b/>
          <w:sz w:val="20"/>
        </w:rPr>
      </w:pPr>
      <w:r w:rsidRPr="00187E68">
        <w:rPr>
          <w:b/>
          <w:sz w:val="20"/>
        </w:rPr>
        <w:t xml:space="preserve">Table </w:t>
      </w:r>
      <w:r w:rsidRPr="00187E68">
        <w:rPr>
          <w:b/>
          <w:sz w:val="20"/>
        </w:rPr>
        <w:fldChar w:fldCharType="begin"/>
      </w:r>
      <w:r w:rsidRPr="00187E68">
        <w:rPr>
          <w:b/>
          <w:sz w:val="20"/>
        </w:rPr>
        <w:instrText xml:space="preserve"> SEQ Table \* ARABIC </w:instrText>
      </w:r>
      <w:r w:rsidRPr="00187E68">
        <w:rPr>
          <w:b/>
          <w:sz w:val="20"/>
        </w:rPr>
        <w:fldChar w:fldCharType="separate"/>
      </w:r>
      <w:r w:rsidR="00AC6EDE">
        <w:rPr>
          <w:b/>
          <w:noProof/>
          <w:sz w:val="20"/>
        </w:rPr>
        <w:t>16</w:t>
      </w:r>
      <w:r w:rsidRPr="00187E68">
        <w:rPr>
          <w:b/>
          <w:sz w:val="20"/>
        </w:rPr>
        <w:fldChar w:fldCharType="end"/>
      </w:r>
      <w:r w:rsidR="00977641" w:rsidRPr="00187E68">
        <w:rPr>
          <w:b/>
          <w:sz w:val="20"/>
        </w:rPr>
        <w:t xml:space="preserve">: Default </w:t>
      </w:r>
      <w:r w:rsidR="00D428D0" w:rsidRPr="00187E68">
        <w:rPr>
          <w:b/>
          <w:sz w:val="20"/>
        </w:rPr>
        <w:t xml:space="preserve">and Literature Based </w:t>
      </w:r>
      <w:r w:rsidR="00977641" w:rsidRPr="00187E68">
        <w:rPr>
          <w:b/>
          <w:sz w:val="20"/>
        </w:rPr>
        <w:t xml:space="preserve">Parameters </w:t>
      </w:r>
    </w:p>
    <w:tbl>
      <w:tblPr>
        <w:tblW w:w="0" w:type="auto"/>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firstRow="1" w:lastRow="0" w:firstColumn="1" w:lastColumn="0" w:noHBand="0" w:noVBand="1"/>
      </w:tblPr>
      <w:tblGrid>
        <w:gridCol w:w="396"/>
        <w:gridCol w:w="1129"/>
        <w:gridCol w:w="7471"/>
      </w:tblGrid>
      <w:tr w:rsidR="00977641" w:rsidRPr="004B02E5" w:rsidTr="003444B1">
        <w:tc>
          <w:tcPr>
            <w:tcW w:w="396" w:type="dxa"/>
            <w:shd w:val="clear" w:color="auto" w:fill="C6D9F1"/>
          </w:tcPr>
          <w:p w:rsidR="00977641" w:rsidRPr="004B02E5" w:rsidRDefault="00977641" w:rsidP="003444B1">
            <w:pPr>
              <w:pStyle w:val="NoSpacing"/>
              <w:rPr>
                <w:b/>
                <w:sz w:val="20"/>
              </w:rPr>
            </w:pPr>
            <w:r w:rsidRPr="004B02E5">
              <w:rPr>
                <w:b/>
                <w:sz w:val="20"/>
              </w:rPr>
              <w:t>ID</w:t>
            </w:r>
          </w:p>
        </w:tc>
        <w:tc>
          <w:tcPr>
            <w:tcW w:w="1130" w:type="dxa"/>
            <w:shd w:val="clear" w:color="auto" w:fill="C6D9F1"/>
          </w:tcPr>
          <w:p w:rsidR="00977641" w:rsidRPr="004B02E5" w:rsidRDefault="00977641" w:rsidP="003444B1">
            <w:pPr>
              <w:pStyle w:val="NoSpacing"/>
              <w:rPr>
                <w:b/>
                <w:sz w:val="20"/>
              </w:rPr>
            </w:pPr>
            <w:r w:rsidRPr="004B02E5">
              <w:rPr>
                <w:b/>
                <w:sz w:val="20"/>
              </w:rPr>
              <w:t>Parameter</w:t>
            </w:r>
          </w:p>
        </w:tc>
        <w:tc>
          <w:tcPr>
            <w:tcW w:w="7654" w:type="dxa"/>
            <w:shd w:val="clear" w:color="auto" w:fill="C6D9F1"/>
          </w:tcPr>
          <w:p w:rsidR="00977641" w:rsidRPr="004B02E5" w:rsidRDefault="00977641" w:rsidP="003444B1">
            <w:pPr>
              <w:pStyle w:val="NoSpacing"/>
              <w:rPr>
                <w:b/>
                <w:sz w:val="20"/>
              </w:rPr>
            </w:pPr>
            <w:r w:rsidRPr="004B02E5">
              <w:rPr>
                <w:b/>
                <w:sz w:val="20"/>
              </w:rPr>
              <w:t>Description</w:t>
            </w:r>
          </w:p>
        </w:tc>
      </w:tr>
      <w:tr w:rsidR="00977641" w:rsidRPr="004B02E5" w:rsidTr="003444B1">
        <w:tc>
          <w:tcPr>
            <w:tcW w:w="396" w:type="dxa"/>
            <w:shd w:val="clear" w:color="auto" w:fill="auto"/>
          </w:tcPr>
          <w:p w:rsidR="00977641" w:rsidRPr="004B02E5" w:rsidRDefault="00977641" w:rsidP="003444B1">
            <w:pPr>
              <w:pStyle w:val="NoSpacing"/>
              <w:rPr>
                <w:sz w:val="20"/>
              </w:rPr>
            </w:pPr>
            <w:r w:rsidRPr="004B02E5">
              <w:rPr>
                <w:sz w:val="20"/>
              </w:rPr>
              <w:t>1</w:t>
            </w:r>
          </w:p>
        </w:tc>
        <w:tc>
          <w:tcPr>
            <w:tcW w:w="1130" w:type="dxa"/>
            <w:shd w:val="clear" w:color="auto" w:fill="auto"/>
          </w:tcPr>
          <w:p w:rsidR="00977641" w:rsidRPr="004B02E5" w:rsidRDefault="00977641" w:rsidP="003444B1">
            <w:pPr>
              <w:pStyle w:val="NoSpacing"/>
              <w:rPr>
                <w:sz w:val="20"/>
              </w:rPr>
            </w:pPr>
            <w:r w:rsidRPr="004B02E5">
              <w:rPr>
                <w:sz w:val="20"/>
              </w:rPr>
              <w:t>NCV</w:t>
            </w:r>
          </w:p>
        </w:tc>
        <w:tc>
          <w:tcPr>
            <w:tcW w:w="7654" w:type="dxa"/>
            <w:shd w:val="clear" w:color="auto" w:fill="auto"/>
          </w:tcPr>
          <w:p w:rsidR="00977641" w:rsidRPr="004B02E5" w:rsidRDefault="00977641" w:rsidP="00D428D0">
            <w:pPr>
              <w:pStyle w:val="NoSpacing"/>
              <w:rPr>
                <w:sz w:val="20"/>
              </w:rPr>
            </w:pPr>
            <w:r w:rsidRPr="004B02E5">
              <w:rPr>
                <w:sz w:val="20"/>
              </w:rPr>
              <w:t xml:space="preserve">Net calorific value of </w:t>
            </w:r>
            <w:r w:rsidR="00D428D0">
              <w:rPr>
                <w:sz w:val="20"/>
              </w:rPr>
              <w:t>diesel</w:t>
            </w:r>
            <w:r w:rsidRPr="004B02E5">
              <w:rPr>
                <w:sz w:val="20"/>
              </w:rPr>
              <w:t xml:space="preserve"> (source: IPCC)</w:t>
            </w:r>
          </w:p>
        </w:tc>
      </w:tr>
      <w:tr w:rsidR="00977641" w:rsidRPr="004B02E5" w:rsidTr="003444B1">
        <w:tc>
          <w:tcPr>
            <w:tcW w:w="396" w:type="dxa"/>
            <w:shd w:val="clear" w:color="auto" w:fill="auto"/>
          </w:tcPr>
          <w:p w:rsidR="00977641" w:rsidRPr="004B02E5" w:rsidRDefault="00977641" w:rsidP="003444B1">
            <w:pPr>
              <w:pStyle w:val="NoSpacing"/>
              <w:rPr>
                <w:sz w:val="20"/>
              </w:rPr>
            </w:pPr>
            <w:r w:rsidRPr="004B02E5">
              <w:rPr>
                <w:sz w:val="20"/>
              </w:rPr>
              <w:t>2</w:t>
            </w:r>
          </w:p>
        </w:tc>
        <w:tc>
          <w:tcPr>
            <w:tcW w:w="1130" w:type="dxa"/>
            <w:shd w:val="clear" w:color="auto" w:fill="auto"/>
          </w:tcPr>
          <w:p w:rsidR="00977641" w:rsidRPr="004B02E5" w:rsidRDefault="00977641" w:rsidP="003444B1">
            <w:pPr>
              <w:pStyle w:val="NoSpacing"/>
              <w:rPr>
                <w:sz w:val="20"/>
              </w:rPr>
            </w:pPr>
            <w:r w:rsidRPr="004B02E5">
              <w:rPr>
                <w:sz w:val="20"/>
              </w:rPr>
              <w:t>EF</w:t>
            </w:r>
            <w:r w:rsidR="00D428D0">
              <w:rPr>
                <w:sz w:val="20"/>
                <w:vertAlign w:val="subscript"/>
              </w:rPr>
              <w:t>CO2</w:t>
            </w:r>
          </w:p>
        </w:tc>
        <w:tc>
          <w:tcPr>
            <w:tcW w:w="7654" w:type="dxa"/>
            <w:shd w:val="clear" w:color="auto" w:fill="auto"/>
          </w:tcPr>
          <w:p w:rsidR="00977641" w:rsidRPr="004B02E5" w:rsidRDefault="00977641" w:rsidP="00D428D0">
            <w:pPr>
              <w:pStyle w:val="NoSpacing"/>
              <w:rPr>
                <w:sz w:val="20"/>
              </w:rPr>
            </w:pPr>
            <w:r w:rsidRPr="004B02E5">
              <w:rPr>
                <w:sz w:val="20"/>
              </w:rPr>
              <w:t>CO</w:t>
            </w:r>
            <w:r w:rsidRPr="004B02E5">
              <w:rPr>
                <w:sz w:val="20"/>
                <w:vertAlign w:val="subscript"/>
              </w:rPr>
              <w:t>2</w:t>
            </w:r>
            <w:r w:rsidRPr="004B02E5">
              <w:rPr>
                <w:sz w:val="20"/>
              </w:rPr>
              <w:t xml:space="preserve"> </w:t>
            </w:r>
            <w:r w:rsidR="00D428D0">
              <w:rPr>
                <w:sz w:val="20"/>
              </w:rPr>
              <w:t xml:space="preserve">emission factor of diesel </w:t>
            </w:r>
            <w:r w:rsidRPr="004B02E5">
              <w:rPr>
                <w:sz w:val="20"/>
              </w:rPr>
              <w:t>(source: IPCC)</w:t>
            </w:r>
          </w:p>
        </w:tc>
      </w:tr>
      <w:tr w:rsidR="00977641" w:rsidRPr="004B02E5" w:rsidTr="003444B1">
        <w:tc>
          <w:tcPr>
            <w:tcW w:w="396" w:type="dxa"/>
            <w:shd w:val="clear" w:color="auto" w:fill="auto"/>
          </w:tcPr>
          <w:p w:rsidR="00977641" w:rsidRPr="004B02E5" w:rsidRDefault="00977641" w:rsidP="003444B1">
            <w:pPr>
              <w:pStyle w:val="NoSpacing"/>
              <w:rPr>
                <w:sz w:val="20"/>
              </w:rPr>
            </w:pPr>
            <w:r w:rsidRPr="004B02E5">
              <w:rPr>
                <w:sz w:val="20"/>
              </w:rPr>
              <w:t>3</w:t>
            </w:r>
          </w:p>
        </w:tc>
        <w:tc>
          <w:tcPr>
            <w:tcW w:w="1130" w:type="dxa"/>
            <w:shd w:val="clear" w:color="auto" w:fill="auto"/>
          </w:tcPr>
          <w:p w:rsidR="00977641" w:rsidRPr="004B02E5" w:rsidRDefault="00977641" w:rsidP="003444B1">
            <w:pPr>
              <w:pStyle w:val="NoSpacing"/>
              <w:rPr>
                <w:sz w:val="20"/>
              </w:rPr>
            </w:pPr>
            <w:r w:rsidRPr="004B02E5">
              <w:rPr>
                <w:sz w:val="20"/>
              </w:rPr>
              <w:t>BC</w:t>
            </w:r>
          </w:p>
        </w:tc>
        <w:tc>
          <w:tcPr>
            <w:tcW w:w="7654" w:type="dxa"/>
            <w:shd w:val="clear" w:color="auto" w:fill="auto"/>
          </w:tcPr>
          <w:p w:rsidR="00977641" w:rsidRPr="004B02E5" w:rsidRDefault="00977641" w:rsidP="00D428D0">
            <w:pPr>
              <w:pStyle w:val="NoSpacing"/>
              <w:rPr>
                <w:sz w:val="20"/>
              </w:rPr>
            </w:pPr>
            <w:r w:rsidRPr="004B02E5">
              <w:rPr>
                <w:sz w:val="20"/>
              </w:rPr>
              <w:t xml:space="preserve">Black carbon emission factor </w:t>
            </w:r>
            <w:r w:rsidR="00D428D0">
              <w:rPr>
                <w:sz w:val="20"/>
              </w:rPr>
              <w:t xml:space="preserve">for buses and trucks </w:t>
            </w:r>
            <w:r w:rsidRPr="004B02E5">
              <w:rPr>
                <w:sz w:val="20"/>
              </w:rPr>
              <w:t xml:space="preserve">(source: </w:t>
            </w:r>
            <w:r w:rsidR="00D428D0">
              <w:rPr>
                <w:sz w:val="20"/>
              </w:rPr>
              <w:t>Copert</w:t>
            </w:r>
            <w:r w:rsidRPr="004B02E5">
              <w:rPr>
                <w:sz w:val="20"/>
              </w:rPr>
              <w:t>)</w:t>
            </w:r>
          </w:p>
        </w:tc>
      </w:tr>
      <w:tr w:rsidR="00977641" w:rsidRPr="004B02E5" w:rsidTr="003444B1">
        <w:tc>
          <w:tcPr>
            <w:tcW w:w="396" w:type="dxa"/>
            <w:shd w:val="clear" w:color="auto" w:fill="auto"/>
          </w:tcPr>
          <w:p w:rsidR="00977641" w:rsidRPr="004B02E5" w:rsidRDefault="00977641" w:rsidP="003444B1">
            <w:pPr>
              <w:pStyle w:val="NoSpacing"/>
              <w:rPr>
                <w:sz w:val="20"/>
              </w:rPr>
            </w:pPr>
            <w:r w:rsidRPr="004B02E5">
              <w:rPr>
                <w:sz w:val="20"/>
              </w:rPr>
              <w:t>4</w:t>
            </w:r>
          </w:p>
        </w:tc>
        <w:tc>
          <w:tcPr>
            <w:tcW w:w="1130" w:type="dxa"/>
            <w:shd w:val="clear" w:color="auto" w:fill="auto"/>
          </w:tcPr>
          <w:p w:rsidR="00977641" w:rsidRPr="004B02E5" w:rsidRDefault="00977641" w:rsidP="003444B1">
            <w:pPr>
              <w:pStyle w:val="NoSpacing"/>
              <w:rPr>
                <w:sz w:val="20"/>
              </w:rPr>
            </w:pPr>
            <w:r w:rsidRPr="004B02E5">
              <w:rPr>
                <w:sz w:val="20"/>
              </w:rPr>
              <w:t>PM/NO</w:t>
            </w:r>
            <w:r w:rsidRPr="004B02E5">
              <w:rPr>
                <w:sz w:val="20"/>
                <w:vertAlign w:val="subscript"/>
              </w:rPr>
              <w:t>x</w:t>
            </w:r>
          </w:p>
        </w:tc>
        <w:tc>
          <w:tcPr>
            <w:tcW w:w="7654" w:type="dxa"/>
            <w:shd w:val="clear" w:color="auto" w:fill="auto"/>
          </w:tcPr>
          <w:p w:rsidR="00977641" w:rsidRPr="004B02E5" w:rsidRDefault="00977641" w:rsidP="00D428D0">
            <w:pPr>
              <w:pStyle w:val="NoSpacing"/>
              <w:rPr>
                <w:sz w:val="20"/>
              </w:rPr>
            </w:pPr>
            <w:r w:rsidRPr="004B02E5">
              <w:rPr>
                <w:sz w:val="20"/>
              </w:rPr>
              <w:t>Particle and NO</w:t>
            </w:r>
            <w:r w:rsidRPr="004B02E5">
              <w:rPr>
                <w:sz w:val="20"/>
                <w:vertAlign w:val="subscript"/>
              </w:rPr>
              <w:t>x</w:t>
            </w:r>
            <w:r w:rsidRPr="004B02E5">
              <w:rPr>
                <w:sz w:val="20"/>
              </w:rPr>
              <w:t xml:space="preserve"> emissions </w:t>
            </w:r>
            <w:r w:rsidR="00D428D0">
              <w:rPr>
                <w:sz w:val="20"/>
              </w:rPr>
              <w:t>for buses and trucks</w:t>
            </w:r>
            <w:r w:rsidRPr="004B02E5">
              <w:rPr>
                <w:sz w:val="20"/>
              </w:rPr>
              <w:t xml:space="preserve"> (source: Copert) </w:t>
            </w:r>
          </w:p>
        </w:tc>
      </w:tr>
      <w:tr w:rsidR="00D428D0" w:rsidRPr="004B02E5" w:rsidTr="003444B1">
        <w:tc>
          <w:tcPr>
            <w:tcW w:w="396" w:type="dxa"/>
            <w:shd w:val="clear" w:color="auto" w:fill="auto"/>
          </w:tcPr>
          <w:p w:rsidR="00D428D0" w:rsidRPr="004B02E5" w:rsidRDefault="00D428D0" w:rsidP="003444B1">
            <w:pPr>
              <w:pStyle w:val="NoSpacing"/>
              <w:rPr>
                <w:sz w:val="20"/>
              </w:rPr>
            </w:pPr>
            <w:r>
              <w:rPr>
                <w:sz w:val="20"/>
              </w:rPr>
              <w:t>5</w:t>
            </w:r>
          </w:p>
        </w:tc>
        <w:tc>
          <w:tcPr>
            <w:tcW w:w="1130" w:type="dxa"/>
            <w:shd w:val="clear" w:color="auto" w:fill="auto"/>
          </w:tcPr>
          <w:p w:rsidR="00D428D0" w:rsidRPr="004B02E5" w:rsidRDefault="00D428D0" w:rsidP="003444B1">
            <w:pPr>
              <w:pStyle w:val="NoSpacing"/>
              <w:rPr>
                <w:sz w:val="20"/>
              </w:rPr>
            </w:pPr>
            <w:r>
              <w:rPr>
                <w:sz w:val="20"/>
              </w:rPr>
              <w:t>GWPBC</w:t>
            </w:r>
          </w:p>
        </w:tc>
        <w:tc>
          <w:tcPr>
            <w:tcW w:w="7654" w:type="dxa"/>
            <w:shd w:val="clear" w:color="auto" w:fill="auto"/>
          </w:tcPr>
          <w:p w:rsidR="00D428D0" w:rsidRPr="004B02E5" w:rsidRDefault="00D428D0" w:rsidP="003444B1">
            <w:pPr>
              <w:pStyle w:val="NoSpacing"/>
              <w:rPr>
                <w:sz w:val="20"/>
              </w:rPr>
            </w:pPr>
            <w:r>
              <w:rPr>
                <w:sz w:val="20"/>
              </w:rPr>
              <w:t>Global Warming Potential of Black Carbon (international literature)</w:t>
            </w:r>
          </w:p>
        </w:tc>
      </w:tr>
      <w:tr w:rsidR="00977641" w:rsidRPr="004B02E5" w:rsidTr="003444B1">
        <w:tc>
          <w:tcPr>
            <w:tcW w:w="396" w:type="dxa"/>
            <w:shd w:val="clear" w:color="auto" w:fill="auto"/>
          </w:tcPr>
          <w:p w:rsidR="00977641" w:rsidRPr="004B02E5" w:rsidRDefault="00D428D0" w:rsidP="003444B1">
            <w:pPr>
              <w:pStyle w:val="NoSpacing"/>
              <w:rPr>
                <w:sz w:val="20"/>
              </w:rPr>
            </w:pPr>
            <w:r>
              <w:rPr>
                <w:sz w:val="20"/>
              </w:rPr>
              <w:t>6</w:t>
            </w:r>
          </w:p>
        </w:tc>
        <w:tc>
          <w:tcPr>
            <w:tcW w:w="1130" w:type="dxa"/>
            <w:shd w:val="clear" w:color="auto" w:fill="auto"/>
          </w:tcPr>
          <w:p w:rsidR="00977641" w:rsidRPr="004B02E5" w:rsidRDefault="00977641" w:rsidP="003444B1">
            <w:pPr>
              <w:pStyle w:val="NoSpacing"/>
              <w:rPr>
                <w:sz w:val="20"/>
              </w:rPr>
            </w:pPr>
            <w:r w:rsidRPr="004B02E5">
              <w:rPr>
                <w:sz w:val="20"/>
              </w:rPr>
              <w:t>UEF</w:t>
            </w:r>
          </w:p>
        </w:tc>
        <w:tc>
          <w:tcPr>
            <w:tcW w:w="7654" w:type="dxa"/>
            <w:shd w:val="clear" w:color="auto" w:fill="auto"/>
          </w:tcPr>
          <w:p w:rsidR="00977641" w:rsidRPr="004B02E5" w:rsidRDefault="00977641" w:rsidP="00D428D0">
            <w:pPr>
              <w:pStyle w:val="NoSpacing"/>
              <w:rPr>
                <w:sz w:val="20"/>
              </w:rPr>
            </w:pPr>
            <w:r w:rsidRPr="004B02E5">
              <w:rPr>
                <w:sz w:val="20"/>
              </w:rPr>
              <w:t xml:space="preserve">Upstream </w:t>
            </w:r>
            <w:r w:rsidR="00D428D0">
              <w:rPr>
                <w:sz w:val="20"/>
              </w:rPr>
              <w:t xml:space="preserve">mark-up </w:t>
            </w:r>
            <w:r w:rsidRPr="004B02E5">
              <w:rPr>
                <w:sz w:val="20"/>
              </w:rPr>
              <w:t xml:space="preserve">factor </w:t>
            </w:r>
            <w:r w:rsidR="00D428D0">
              <w:rPr>
                <w:sz w:val="20"/>
              </w:rPr>
              <w:t xml:space="preserve">WTT diesel </w:t>
            </w:r>
            <w:r w:rsidRPr="004B02E5">
              <w:rPr>
                <w:sz w:val="20"/>
              </w:rPr>
              <w:t xml:space="preserve">(source: international literature) </w:t>
            </w:r>
          </w:p>
        </w:tc>
      </w:tr>
      <w:tr w:rsidR="00D428D0" w:rsidRPr="004B02E5" w:rsidTr="003444B1">
        <w:tc>
          <w:tcPr>
            <w:tcW w:w="396" w:type="dxa"/>
            <w:shd w:val="clear" w:color="auto" w:fill="auto"/>
          </w:tcPr>
          <w:p w:rsidR="00D428D0" w:rsidRDefault="00D428D0" w:rsidP="003444B1">
            <w:pPr>
              <w:pStyle w:val="NoSpacing"/>
              <w:rPr>
                <w:sz w:val="20"/>
              </w:rPr>
            </w:pPr>
            <w:r>
              <w:rPr>
                <w:sz w:val="20"/>
              </w:rPr>
              <w:t>7</w:t>
            </w:r>
          </w:p>
        </w:tc>
        <w:tc>
          <w:tcPr>
            <w:tcW w:w="1130" w:type="dxa"/>
            <w:shd w:val="clear" w:color="auto" w:fill="auto"/>
          </w:tcPr>
          <w:p w:rsidR="00D428D0" w:rsidRPr="004B02E5" w:rsidRDefault="00D428D0" w:rsidP="003444B1">
            <w:pPr>
              <w:pStyle w:val="NoSpacing"/>
              <w:rPr>
                <w:sz w:val="20"/>
              </w:rPr>
            </w:pPr>
            <w:r>
              <w:rPr>
                <w:sz w:val="20"/>
              </w:rPr>
              <w:t>Fatalities</w:t>
            </w:r>
          </w:p>
        </w:tc>
        <w:tc>
          <w:tcPr>
            <w:tcW w:w="7654" w:type="dxa"/>
            <w:shd w:val="clear" w:color="auto" w:fill="auto"/>
          </w:tcPr>
          <w:p w:rsidR="00D428D0" w:rsidRPr="004B02E5" w:rsidRDefault="00D428D0" w:rsidP="003444B1">
            <w:pPr>
              <w:pStyle w:val="NoSpacing"/>
              <w:rPr>
                <w:sz w:val="20"/>
              </w:rPr>
            </w:pPr>
            <w:r>
              <w:rPr>
                <w:sz w:val="20"/>
              </w:rPr>
              <w:t>Road fatalities related to buses and trucks (source: BRTA)</w:t>
            </w:r>
          </w:p>
        </w:tc>
      </w:tr>
      <w:tr w:rsidR="00D428D0" w:rsidRPr="004B02E5" w:rsidTr="003444B1">
        <w:tc>
          <w:tcPr>
            <w:tcW w:w="396" w:type="dxa"/>
            <w:shd w:val="clear" w:color="auto" w:fill="auto"/>
          </w:tcPr>
          <w:p w:rsidR="00D428D0" w:rsidRDefault="00D428D0" w:rsidP="003444B1">
            <w:pPr>
              <w:pStyle w:val="NoSpacing"/>
              <w:rPr>
                <w:sz w:val="20"/>
              </w:rPr>
            </w:pPr>
            <w:r>
              <w:rPr>
                <w:sz w:val="20"/>
              </w:rPr>
              <w:t>8</w:t>
            </w:r>
          </w:p>
        </w:tc>
        <w:tc>
          <w:tcPr>
            <w:tcW w:w="1130" w:type="dxa"/>
            <w:shd w:val="clear" w:color="auto" w:fill="auto"/>
          </w:tcPr>
          <w:p w:rsidR="00D428D0" w:rsidRDefault="00D428D0" w:rsidP="003444B1">
            <w:pPr>
              <w:pStyle w:val="NoSpacing"/>
              <w:rPr>
                <w:sz w:val="20"/>
              </w:rPr>
            </w:pPr>
            <w:r>
              <w:rPr>
                <w:sz w:val="20"/>
              </w:rPr>
              <w:t>External costs</w:t>
            </w:r>
          </w:p>
        </w:tc>
        <w:tc>
          <w:tcPr>
            <w:tcW w:w="7654" w:type="dxa"/>
            <w:shd w:val="clear" w:color="auto" w:fill="auto"/>
          </w:tcPr>
          <w:p w:rsidR="00D428D0" w:rsidRDefault="00D428D0" w:rsidP="003444B1">
            <w:pPr>
              <w:pStyle w:val="NoSpacing"/>
              <w:rPr>
                <w:sz w:val="20"/>
              </w:rPr>
            </w:pPr>
            <w:r>
              <w:rPr>
                <w:sz w:val="20"/>
              </w:rPr>
              <w:t>External costs of air pollution (USD/t NOx and per tPM) and of accidents ((source: international literature)</w:t>
            </w:r>
          </w:p>
        </w:tc>
      </w:tr>
    </w:tbl>
    <w:p w:rsidR="00EC2775" w:rsidRDefault="00EC2775" w:rsidP="00EC2775"/>
    <w:p w:rsidR="00EC2775" w:rsidRDefault="00E40564" w:rsidP="00E40564">
      <w:pPr>
        <w:pStyle w:val="Heading2"/>
        <w:ind w:firstLine="720"/>
      </w:pPr>
      <w:bookmarkStart w:id="35" w:name="_Toc466207361"/>
      <w:r>
        <w:t xml:space="preserve">9.3. </w:t>
      </w:r>
      <w:r w:rsidR="00EC2775">
        <w:t>Institutional set-Up</w:t>
      </w:r>
      <w:bookmarkEnd w:id="35"/>
    </w:p>
    <w:p w:rsidR="00EC2775" w:rsidRDefault="00EC2775" w:rsidP="00EC2775"/>
    <w:p w:rsidR="005F4241" w:rsidRDefault="005F4241" w:rsidP="005F4241">
      <w:pPr>
        <w:jc w:val="both"/>
      </w:pPr>
      <w:r w:rsidRPr="00FF0AB4">
        <w:t xml:space="preserve">The monitoring reports are realized on an annual base by </w:t>
      </w:r>
      <w:r w:rsidR="00D428D0">
        <w:t>BR</w:t>
      </w:r>
      <w:r w:rsidRPr="00FF0AB4">
        <w:t xml:space="preserve">. </w:t>
      </w:r>
      <w:r w:rsidR="00D428D0">
        <w:t xml:space="preserve">Additional data collection is limited to every 5 years.  The report can be realized within the department which is in charge of realizing the BR annual report. The climate impact can thereby be integrated within this report as a short special section thus also making efforts public and having an annual report structure without additional publication efforts. </w:t>
      </w:r>
      <w:r>
        <w:t xml:space="preserve">The </w:t>
      </w:r>
      <w:r w:rsidR="004B3B5F">
        <w:t xml:space="preserve">staff in charge </w:t>
      </w:r>
      <w:r>
        <w:t>will be trained by Grütter Consulting who will also realize the first monitoring report, and a monitoring spreadsheet which incorporates al</w:t>
      </w:r>
      <w:r w:rsidR="004B3B5F">
        <w:t>l calculation steps and formula</w:t>
      </w:r>
      <w:r>
        <w:t xml:space="preserve">s required.  </w:t>
      </w:r>
    </w:p>
    <w:p w:rsidR="00C356C8" w:rsidRPr="00C356C8" w:rsidRDefault="005F4241" w:rsidP="004B3B5F">
      <w:pPr>
        <w:jc w:val="both"/>
      </w:pPr>
      <w:r>
        <w:t xml:space="preserve">An external verification of the monitoring reports </w:t>
      </w:r>
      <w:r w:rsidR="004B3B5F">
        <w:t>could be realized if required by potential financing parties</w:t>
      </w:r>
      <w:r>
        <w:t xml:space="preserve">. The verification could be realized </w:t>
      </w:r>
      <w:r w:rsidR="004B3B5F">
        <w:t xml:space="preserve">for example </w:t>
      </w:r>
      <w:r>
        <w:t>by DOEs accredited for the CD</w:t>
      </w:r>
      <w:r w:rsidR="004B3B5F">
        <w:t>M sectoral scope 7 (transport).</w:t>
      </w:r>
    </w:p>
    <w:p w:rsidR="004A02F2" w:rsidRDefault="00E40564" w:rsidP="00E40564">
      <w:pPr>
        <w:pStyle w:val="Heading1"/>
      </w:pPr>
      <w:r>
        <w:br w:type="column"/>
      </w:r>
      <w:bookmarkStart w:id="36" w:name="_Toc466207362"/>
      <w:r>
        <w:lastRenderedPageBreak/>
        <w:t xml:space="preserve">10. </w:t>
      </w:r>
      <w:r w:rsidR="004A02F2">
        <w:t>NAMA Implementation Arrangements</w:t>
      </w:r>
      <w:bookmarkEnd w:id="36"/>
    </w:p>
    <w:p w:rsidR="00765C2F" w:rsidRDefault="00765C2F" w:rsidP="00765C2F"/>
    <w:p w:rsidR="00765C2F" w:rsidRDefault="00765C2F" w:rsidP="00765C2F">
      <w:pPr>
        <w:jc w:val="both"/>
      </w:pPr>
      <w:r>
        <w:t>The NAMA is managed and implemented by BR in coordination with MOEF. Due to the simple monitoring system no additional support beyond what is already planned within the ADB NAMA project is required.</w:t>
      </w:r>
    </w:p>
    <w:p w:rsidR="00765C2F" w:rsidRPr="00765C2F" w:rsidRDefault="00765C2F" w:rsidP="00765C2F"/>
    <w:p w:rsidR="004A02F2" w:rsidRDefault="004A02F2" w:rsidP="004A02F2"/>
    <w:p w:rsidR="000A2B2A" w:rsidRDefault="000A2B2A" w:rsidP="004A02F2">
      <w:pPr>
        <w:pStyle w:val="Heading1"/>
        <w:sectPr w:rsidR="000A2B2A" w:rsidSect="00BE6A26">
          <w:headerReference w:type="default" r:id="rId34"/>
          <w:footerReference w:type="default" r:id="rId35"/>
          <w:pgSz w:w="11906" w:h="16838"/>
          <w:pgMar w:top="1440" w:right="1440" w:bottom="1440" w:left="1440" w:header="708" w:footer="708" w:gutter="0"/>
          <w:cols w:space="708"/>
          <w:titlePg/>
          <w:docGrid w:linePitch="360"/>
        </w:sectPr>
      </w:pPr>
    </w:p>
    <w:p w:rsidR="00A434D0" w:rsidRDefault="004A02F2" w:rsidP="000A2B2A">
      <w:pPr>
        <w:pStyle w:val="Heading1"/>
      </w:pPr>
      <w:bookmarkStart w:id="37" w:name="_Toc466207363"/>
      <w:r>
        <w:lastRenderedPageBreak/>
        <w:t>Annex</w:t>
      </w:r>
      <w:r w:rsidR="00C356C8">
        <w:t xml:space="preserve"> 1: </w:t>
      </w:r>
      <w:r w:rsidR="00A434D0">
        <w:t>Calculations</w:t>
      </w:r>
      <w:bookmarkEnd w:id="37"/>
    </w:p>
    <w:p w:rsidR="000A2B2A" w:rsidRDefault="00640892" w:rsidP="000A2B2A">
      <w:pPr>
        <w:pStyle w:val="Heading2"/>
      </w:pPr>
      <w:bookmarkStart w:id="38" w:name="_Toc466207364"/>
      <w:r>
        <w:t>A1</w:t>
      </w:r>
      <w:r w:rsidR="004317A6">
        <w:t>.1</w:t>
      </w:r>
      <w:r>
        <w:t>: General Input Parameters</w:t>
      </w:r>
      <w:bookmarkEnd w:id="38"/>
    </w:p>
    <w:tbl>
      <w:tblPr>
        <w:tblStyle w:val="TableGrid"/>
        <w:tblW w:w="0" w:type="auto"/>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5307"/>
        <w:gridCol w:w="987"/>
        <w:gridCol w:w="1158"/>
        <w:gridCol w:w="6486"/>
      </w:tblGrid>
      <w:tr w:rsidR="000A2B2A" w:rsidTr="000A2B2A">
        <w:tc>
          <w:tcPr>
            <w:tcW w:w="5312" w:type="dxa"/>
            <w:shd w:val="clear" w:color="auto" w:fill="DEEAF6" w:themeFill="accent1" w:themeFillTint="33"/>
            <w:vAlign w:val="center"/>
          </w:tcPr>
          <w:p w:rsidR="000A2B2A" w:rsidRPr="000A2B2A" w:rsidRDefault="000A2B2A" w:rsidP="000A2B2A">
            <w:pPr>
              <w:pStyle w:val="NoSpacing"/>
              <w:rPr>
                <w:rFonts w:asciiTheme="minorHAnsi" w:hAnsiTheme="minorHAnsi"/>
                <w:b/>
                <w:sz w:val="20"/>
                <w:szCs w:val="20"/>
              </w:rPr>
            </w:pPr>
            <w:r w:rsidRPr="000A2B2A">
              <w:rPr>
                <w:rFonts w:asciiTheme="minorHAnsi" w:hAnsiTheme="minorHAnsi"/>
                <w:b/>
                <w:sz w:val="20"/>
                <w:szCs w:val="20"/>
              </w:rPr>
              <w:t>Parameter</w:t>
            </w:r>
          </w:p>
        </w:tc>
        <w:tc>
          <w:tcPr>
            <w:tcW w:w="987" w:type="dxa"/>
            <w:shd w:val="clear" w:color="auto" w:fill="DEEAF6" w:themeFill="accent1" w:themeFillTint="33"/>
            <w:vAlign w:val="center"/>
          </w:tcPr>
          <w:p w:rsidR="000A2B2A" w:rsidRPr="000A2B2A" w:rsidRDefault="000A2B2A" w:rsidP="000A2B2A">
            <w:pPr>
              <w:pStyle w:val="NoSpacing"/>
              <w:jc w:val="center"/>
              <w:rPr>
                <w:rFonts w:asciiTheme="minorHAnsi" w:hAnsiTheme="minorHAnsi"/>
                <w:b/>
                <w:sz w:val="20"/>
                <w:szCs w:val="20"/>
              </w:rPr>
            </w:pPr>
            <w:r w:rsidRPr="000A2B2A">
              <w:rPr>
                <w:rFonts w:asciiTheme="minorHAnsi" w:hAnsiTheme="minorHAnsi"/>
                <w:b/>
                <w:sz w:val="20"/>
                <w:szCs w:val="20"/>
              </w:rPr>
              <w:t>Value</w:t>
            </w:r>
          </w:p>
        </w:tc>
        <w:tc>
          <w:tcPr>
            <w:tcW w:w="1158" w:type="dxa"/>
            <w:shd w:val="clear" w:color="auto" w:fill="DEEAF6" w:themeFill="accent1" w:themeFillTint="33"/>
            <w:vAlign w:val="bottom"/>
          </w:tcPr>
          <w:p w:rsidR="000A2B2A" w:rsidRPr="000A2B2A" w:rsidRDefault="000A2B2A" w:rsidP="000A2B2A">
            <w:pPr>
              <w:pStyle w:val="NoSpacing"/>
              <w:jc w:val="center"/>
              <w:rPr>
                <w:rFonts w:asciiTheme="minorHAnsi" w:hAnsiTheme="minorHAnsi"/>
                <w:b/>
                <w:sz w:val="20"/>
                <w:szCs w:val="20"/>
              </w:rPr>
            </w:pPr>
            <w:r w:rsidRPr="000A2B2A">
              <w:rPr>
                <w:rFonts w:asciiTheme="minorHAnsi" w:hAnsiTheme="minorHAnsi"/>
                <w:b/>
                <w:sz w:val="20"/>
                <w:szCs w:val="20"/>
              </w:rPr>
              <w:t>Unit</w:t>
            </w:r>
          </w:p>
        </w:tc>
        <w:tc>
          <w:tcPr>
            <w:tcW w:w="6491" w:type="dxa"/>
            <w:shd w:val="clear" w:color="auto" w:fill="DEEAF6" w:themeFill="accent1" w:themeFillTint="33"/>
            <w:vAlign w:val="center"/>
          </w:tcPr>
          <w:p w:rsidR="000A2B2A" w:rsidRPr="000A2B2A" w:rsidRDefault="000A2B2A" w:rsidP="000A2B2A">
            <w:pPr>
              <w:pStyle w:val="NoSpacing"/>
              <w:rPr>
                <w:rFonts w:asciiTheme="minorHAnsi" w:hAnsiTheme="minorHAnsi"/>
                <w:b/>
                <w:sz w:val="20"/>
                <w:szCs w:val="20"/>
              </w:rPr>
            </w:pPr>
            <w:r w:rsidRPr="000A2B2A">
              <w:rPr>
                <w:rFonts w:asciiTheme="minorHAnsi" w:hAnsiTheme="minorHAnsi"/>
                <w:b/>
                <w:sz w:val="20"/>
                <w:szCs w:val="20"/>
              </w:rPr>
              <w:t>Source</w:t>
            </w:r>
          </w:p>
        </w:tc>
      </w:tr>
      <w:tr w:rsidR="000A2B2A" w:rsidTr="000A2B2A">
        <w:tc>
          <w:tcPr>
            <w:tcW w:w="5312" w:type="dxa"/>
            <w:vAlign w:val="center"/>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NCV of diesel</w:t>
            </w:r>
          </w:p>
        </w:tc>
        <w:tc>
          <w:tcPr>
            <w:tcW w:w="987" w:type="dxa"/>
            <w:vAlign w:val="center"/>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43</w:t>
            </w:r>
          </w:p>
        </w:tc>
        <w:tc>
          <w:tcPr>
            <w:tcW w:w="1158" w:type="dxa"/>
            <w:vAlign w:val="bottom"/>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MJ/kg</w:t>
            </w:r>
          </w:p>
        </w:tc>
        <w:tc>
          <w:tcPr>
            <w:tcW w:w="6491" w:type="dxa"/>
            <w:vAlign w:val="center"/>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IPCC, 2006, table 1.2</w:t>
            </w:r>
          </w:p>
        </w:tc>
      </w:tr>
      <w:tr w:rsidR="000A2B2A" w:rsidTr="000A2B2A">
        <w:tc>
          <w:tcPr>
            <w:tcW w:w="5312" w:type="dxa"/>
            <w:vAlign w:val="center"/>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CO</w:t>
            </w:r>
            <w:r w:rsidRPr="000A2B2A">
              <w:rPr>
                <w:rFonts w:asciiTheme="minorHAnsi" w:hAnsiTheme="minorHAnsi"/>
                <w:sz w:val="20"/>
                <w:szCs w:val="20"/>
                <w:vertAlign w:val="subscript"/>
              </w:rPr>
              <w:t>2</w:t>
            </w:r>
            <w:r w:rsidRPr="000A2B2A">
              <w:rPr>
                <w:rFonts w:asciiTheme="minorHAnsi" w:hAnsiTheme="minorHAnsi"/>
                <w:sz w:val="20"/>
                <w:szCs w:val="20"/>
              </w:rPr>
              <w:t xml:space="preserve"> emission factor of diesel</w:t>
            </w:r>
          </w:p>
        </w:tc>
        <w:tc>
          <w:tcPr>
            <w:tcW w:w="987" w:type="dxa"/>
            <w:vAlign w:val="center"/>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74.1</w:t>
            </w:r>
          </w:p>
        </w:tc>
        <w:tc>
          <w:tcPr>
            <w:tcW w:w="1158" w:type="dxa"/>
            <w:vAlign w:val="center"/>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gCO</w:t>
            </w:r>
            <w:r w:rsidRPr="000A2B2A">
              <w:rPr>
                <w:rFonts w:asciiTheme="minorHAnsi" w:hAnsiTheme="minorHAnsi"/>
                <w:sz w:val="20"/>
                <w:szCs w:val="20"/>
                <w:vertAlign w:val="subscript"/>
              </w:rPr>
              <w:t>2</w:t>
            </w:r>
            <w:r w:rsidRPr="000A2B2A">
              <w:rPr>
                <w:rFonts w:asciiTheme="minorHAnsi" w:hAnsiTheme="minorHAnsi"/>
                <w:sz w:val="20"/>
                <w:szCs w:val="20"/>
              </w:rPr>
              <w:t>/MJ</w:t>
            </w:r>
          </w:p>
        </w:tc>
        <w:tc>
          <w:tcPr>
            <w:tcW w:w="6491" w:type="dxa"/>
            <w:vAlign w:val="center"/>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IPCC, 2006, table 1.4</w:t>
            </w:r>
          </w:p>
        </w:tc>
      </w:tr>
      <w:tr w:rsidR="000A2B2A" w:rsidTr="000A2B2A">
        <w:tc>
          <w:tcPr>
            <w:tcW w:w="5312" w:type="dxa"/>
            <w:vAlign w:val="center"/>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Density of diesel</w:t>
            </w:r>
          </w:p>
        </w:tc>
        <w:tc>
          <w:tcPr>
            <w:tcW w:w="987" w:type="dxa"/>
            <w:vAlign w:val="center"/>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0.844</w:t>
            </w:r>
          </w:p>
        </w:tc>
        <w:tc>
          <w:tcPr>
            <w:tcW w:w="1158" w:type="dxa"/>
            <w:vAlign w:val="center"/>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kg/l</w:t>
            </w:r>
          </w:p>
        </w:tc>
        <w:tc>
          <w:tcPr>
            <w:tcW w:w="6491" w:type="dxa"/>
            <w:vAlign w:val="center"/>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IEA, 2005</w:t>
            </w:r>
          </w:p>
        </w:tc>
      </w:tr>
      <w:tr w:rsidR="000A2B2A" w:rsidTr="000A2B2A">
        <w:tc>
          <w:tcPr>
            <w:tcW w:w="5312" w:type="dxa"/>
            <w:vAlign w:val="center"/>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NCV of gasoline</w:t>
            </w:r>
          </w:p>
        </w:tc>
        <w:tc>
          <w:tcPr>
            <w:tcW w:w="987" w:type="dxa"/>
            <w:vAlign w:val="center"/>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44.3</w:t>
            </w:r>
          </w:p>
        </w:tc>
        <w:tc>
          <w:tcPr>
            <w:tcW w:w="1158" w:type="dxa"/>
            <w:vAlign w:val="bottom"/>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MJ/kg</w:t>
            </w:r>
          </w:p>
        </w:tc>
        <w:tc>
          <w:tcPr>
            <w:tcW w:w="6491" w:type="dxa"/>
            <w:vAlign w:val="center"/>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IPCC, 2006, table 1.2</w:t>
            </w:r>
          </w:p>
        </w:tc>
      </w:tr>
      <w:tr w:rsidR="000A2B2A" w:rsidTr="000A2B2A">
        <w:tc>
          <w:tcPr>
            <w:tcW w:w="5312" w:type="dxa"/>
            <w:vAlign w:val="center"/>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CO</w:t>
            </w:r>
            <w:r w:rsidRPr="000A2B2A">
              <w:rPr>
                <w:rFonts w:asciiTheme="minorHAnsi" w:hAnsiTheme="minorHAnsi"/>
                <w:sz w:val="20"/>
                <w:szCs w:val="20"/>
                <w:vertAlign w:val="subscript"/>
              </w:rPr>
              <w:t>2</w:t>
            </w:r>
            <w:r w:rsidRPr="000A2B2A">
              <w:rPr>
                <w:rFonts w:asciiTheme="minorHAnsi" w:hAnsiTheme="minorHAnsi"/>
                <w:sz w:val="20"/>
                <w:szCs w:val="20"/>
              </w:rPr>
              <w:t xml:space="preserve"> emission factor of gasoline</w:t>
            </w:r>
          </w:p>
        </w:tc>
        <w:tc>
          <w:tcPr>
            <w:tcW w:w="987" w:type="dxa"/>
            <w:vAlign w:val="center"/>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69.3</w:t>
            </w:r>
          </w:p>
        </w:tc>
        <w:tc>
          <w:tcPr>
            <w:tcW w:w="1158" w:type="dxa"/>
            <w:vAlign w:val="center"/>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gCO</w:t>
            </w:r>
            <w:r w:rsidRPr="000A2B2A">
              <w:rPr>
                <w:rFonts w:asciiTheme="minorHAnsi" w:hAnsiTheme="minorHAnsi"/>
                <w:sz w:val="20"/>
                <w:szCs w:val="20"/>
                <w:vertAlign w:val="subscript"/>
              </w:rPr>
              <w:t>2</w:t>
            </w:r>
            <w:r w:rsidRPr="000A2B2A">
              <w:rPr>
                <w:rFonts w:asciiTheme="minorHAnsi" w:hAnsiTheme="minorHAnsi"/>
                <w:sz w:val="20"/>
                <w:szCs w:val="20"/>
              </w:rPr>
              <w:t>/MJ</w:t>
            </w:r>
          </w:p>
        </w:tc>
        <w:tc>
          <w:tcPr>
            <w:tcW w:w="6491" w:type="dxa"/>
            <w:vAlign w:val="center"/>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IPCC, 2006, table 1.4</w:t>
            </w:r>
          </w:p>
        </w:tc>
      </w:tr>
      <w:tr w:rsidR="000A2B2A" w:rsidTr="000A2B2A">
        <w:tc>
          <w:tcPr>
            <w:tcW w:w="5312" w:type="dxa"/>
            <w:vAlign w:val="center"/>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Density of gasoline</w:t>
            </w:r>
          </w:p>
        </w:tc>
        <w:tc>
          <w:tcPr>
            <w:tcW w:w="987" w:type="dxa"/>
            <w:vAlign w:val="center"/>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0.741</w:t>
            </w:r>
          </w:p>
        </w:tc>
        <w:tc>
          <w:tcPr>
            <w:tcW w:w="1158" w:type="dxa"/>
            <w:vAlign w:val="center"/>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kg/l</w:t>
            </w:r>
          </w:p>
        </w:tc>
        <w:tc>
          <w:tcPr>
            <w:tcW w:w="6491" w:type="dxa"/>
            <w:vAlign w:val="center"/>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IEA, 2005</w:t>
            </w:r>
          </w:p>
        </w:tc>
      </w:tr>
      <w:tr w:rsidR="000A2B2A" w:rsidTr="000A2B2A">
        <w:tc>
          <w:tcPr>
            <w:tcW w:w="5312" w:type="dxa"/>
            <w:vAlign w:val="center"/>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Well-to-tank mark-up factor diesel</w:t>
            </w:r>
          </w:p>
        </w:tc>
        <w:tc>
          <w:tcPr>
            <w:tcW w:w="987" w:type="dxa"/>
            <w:vAlign w:val="center"/>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25%</w:t>
            </w:r>
          </w:p>
        </w:tc>
        <w:tc>
          <w:tcPr>
            <w:tcW w:w="1158" w:type="dxa"/>
            <w:vAlign w:val="center"/>
          </w:tcPr>
          <w:p w:rsidR="000A2B2A" w:rsidRPr="000A2B2A" w:rsidRDefault="000A2B2A" w:rsidP="000A2B2A">
            <w:pPr>
              <w:pStyle w:val="NoSpacing"/>
              <w:jc w:val="center"/>
              <w:rPr>
                <w:rFonts w:asciiTheme="minorHAnsi" w:hAnsiTheme="minorHAnsi"/>
                <w:sz w:val="20"/>
                <w:szCs w:val="20"/>
              </w:rPr>
            </w:pPr>
          </w:p>
        </w:tc>
        <w:tc>
          <w:tcPr>
            <w:tcW w:w="6491" w:type="dxa"/>
            <w:vAlign w:val="center"/>
          </w:tcPr>
          <w:p w:rsidR="000A2B2A" w:rsidRPr="000A2B2A" w:rsidRDefault="00100058" w:rsidP="000A2B2A">
            <w:pPr>
              <w:pStyle w:val="NoSpacing"/>
              <w:rPr>
                <w:rFonts w:asciiTheme="minorHAnsi" w:hAnsiTheme="minorHAnsi"/>
                <w:sz w:val="20"/>
                <w:szCs w:val="20"/>
              </w:rPr>
            </w:pPr>
            <w:hyperlink r:id="rId36" w:anchor="RANGE!_ftn3" w:history="1">
              <w:r w:rsidR="000A2B2A" w:rsidRPr="000A2B2A">
                <w:rPr>
                  <w:rStyle w:val="Hyperlink"/>
                  <w:rFonts w:asciiTheme="minorHAnsi" w:hAnsiTheme="minorHAnsi"/>
                  <w:color w:val="000000"/>
                  <w:sz w:val="20"/>
                  <w:szCs w:val="20"/>
                  <w:u w:val="none"/>
                </w:rPr>
                <w:t>JRC-Study study 22%, CEC 23%, US DOE GREET model 25%, NRC GHGenius  model 29%; average value taken</w:t>
              </w:r>
            </w:hyperlink>
          </w:p>
        </w:tc>
      </w:tr>
      <w:tr w:rsidR="000A2B2A" w:rsidTr="000A2B2A">
        <w:tc>
          <w:tcPr>
            <w:tcW w:w="5312" w:type="dxa"/>
            <w:vAlign w:val="center"/>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Well-to-tank mark-up factor gasoline</w:t>
            </w:r>
          </w:p>
        </w:tc>
        <w:tc>
          <w:tcPr>
            <w:tcW w:w="987" w:type="dxa"/>
            <w:vAlign w:val="center"/>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25%</w:t>
            </w:r>
          </w:p>
        </w:tc>
        <w:tc>
          <w:tcPr>
            <w:tcW w:w="1158" w:type="dxa"/>
            <w:vAlign w:val="center"/>
          </w:tcPr>
          <w:p w:rsidR="000A2B2A" w:rsidRPr="000A2B2A" w:rsidRDefault="000A2B2A" w:rsidP="000A2B2A">
            <w:pPr>
              <w:pStyle w:val="NoSpacing"/>
              <w:jc w:val="center"/>
              <w:rPr>
                <w:rFonts w:asciiTheme="minorHAnsi" w:hAnsiTheme="minorHAnsi"/>
                <w:sz w:val="20"/>
                <w:szCs w:val="20"/>
              </w:rPr>
            </w:pPr>
          </w:p>
        </w:tc>
        <w:tc>
          <w:tcPr>
            <w:tcW w:w="6491"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 xml:space="preserve">JRC-Study 19%, CEC 27%, LLC 28%; average value  taken </w:t>
            </w:r>
          </w:p>
        </w:tc>
      </w:tr>
      <w:tr w:rsidR="000A2B2A" w:rsidTr="000A2B2A">
        <w:tc>
          <w:tcPr>
            <w:tcW w:w="5312" w:type="dxa"/>
            <w:vAlign w:val="center"/>
          </w:tcPr>
          <w:p w:rsidR="000A2B2A" w:rsidRPr="000A2B2A" w:rsidRDefault="000A2B2A" w:rsidP="000A2B2A">
            <w:pPr>
              <w:pStyle w:val="NoSpacing"/>
              <w:rPr>
                <w:rFonts w:asciiTheme="minorHAnsi" w:hAnsiTheme="minorHAnsi"/>
                <w:sz w:val="20"/>
                <w:szCs w:val="20"/>
                <w:lang w:val="de-DE"/>
              </w:rPr>
            </w:pPr>
            <w:r w:rsidRPr="000A2B2A">
              <w:rPr>
                <w:rFonts w:asciiTheme="minorHAnsi" w:hAnsiTheme="minorHAnsi"/>
                <w:sz w:val="20"/>
                <w:szCs w:val="20"/>
                <w:lang w:val="de-DE"/>
              </w:rPr>
              <w:t>PM 2.5 emission</w:t>
            </w:r>
            <w:r w:rsidR="00932907">
              <w:rPr>
                <w:rFonts w:asciiTheme="minorHAnsi" w:hAnsiTheme="minorHAnsi"/>
                <w:sz w:val="20"/>
                <w:szCs w:val="20"/>
                <w:lang w:val="de-DE"/>
              </w:rPr>
              <w:t>s</w:t>
            </w:r>
            <w:r w:rsidRPr="000A2B2A">
              <w:rPr>
                <w:rFonts w:asciiTheme="minorHAnsi" w:hAnsiTheme="minorHAnsi"/>
                <w:sz w:val="20"/>
                <w:szCs w:val="20"/>
                <w:lang w:val="de-DE"/>
              </w:rPr>
              <w:t xml:space="preserve"> diesel coach Euro I</w:t>
            </w:r>
          </w:p>
        </w:tc>
        <w:tc>
          <w:tcPr>
            <w:tcW w:w="987" w:type="dxa"/>
            <w:vAlign w:val="center"/>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0.362</w:t>
            </w:r>
          </w:p>
        </w:tc>
        <w:tc>
          <w:tcPr>
            <w:tcW w:w="1158" w:type="dxa"/>
            <w:vAlign w:val="center"/>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g/km</w:t>
            </w:r>
          </w:p>
        </w:tc>
        <w:tc>
          <w:tcPr>
            <w:tcW w:w="6491"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COPERT, table 3-23, Tier 2 app</w:t>
            </w:r>
            <w:r w:rsidR="00932907">
              <w:rPr>
                <w:rFonts w:asciiTheme="minorHAnsi" w:hAnsiTheme="minorHAnsi"/>
                <w:sz w:val="20"/>
                <w:szCs w:val="20"/>
              </w:rPr>
              <w:t>r</w:t>
            </w:r>
            <w:r w:rsidRPr="000A2B2A">
              <w:rPr>
                <w:rFonts w:asciiTheme="minorHAnsi" w:hAnsiTheme="minorHAnsi"/>
                <w:sz w:val="20"/>
                <w:szCs w:val="20"/>
              </w:rPr>
              <w:t>oach</w:t>
            </w:r>
          </w:p>
        </w:tc>
      </w:tr>
      <w:tr w:rsidR="000A2B2A" w:rsidTr="000A2B2A">
        <w:tc>
          <w:tcPr>
            <w:tcW w:w="5312" w:type="dxa"/>
            <w:vAlign w:val="center"/>
          </w:tcPr>
          <w:p w:rsidR="000A2B2A" w:rsidRPr="000A2B2A" w:rsidRDefault="000A2B2A" w:rsidP="000A2B2A">
            <w:pPr>
              <w:pStyle w:val="NoSpacing"/>
              <w:rPr>
                <w:rFonts w:asciiTheme="minorHAnsi" w:hAnsiTheme="minorHAnsi"/>
                <w:sz w:val="20"/>
                <w:szCs w:val="20"/>
                <w:lang w:val="de-DE"/>
              </w:rPr>
            </w:pPr>
            <w:r w:rsidRPr="000A2B2A">
              <w:rPr>
                <w:rFonts w:asciiTheme="minorHAnsi" w:hAnsiTheme="minorHAnsi"/>
                <w:sz w:val="20"/>
                <w:szCs w:val="20"/>
                <w:lang w:val="de-DE"/>
              </w:rPr>
              <w:t>NOx emission</w:t>
            </w:r>
            <w:r w:rsidR="00932907">
              <w:rPr>
                <w:rFonts w:asciiTheme="minorHAnsi" w:hAnsiTheme="minorHAnsi"/>
                <w:sz w:val="20"/>
                <w:szCs w:val="20"/>
                <w:lang w:val="de-DE"/>
              </w:rPr>
              <w:t>s</w:t>
            </w:r>
            <w:r w:rsidRPr="000A2B2A">
              <w:rPr>
                <w:rFonts w:asciiTheme="minorHAnsi" w:hAnsiTheme="minorHAnsi"/>
                <w:sz w:val="20"/>
                <w:szCs w:val="20"/>
                <w:lang w:val="de-DE"/>
              </w:rPr>
              <w:t xml:space="preserve"> diesel coach Euro I</w:t>
            </w:r>
          </w:p>
        </w:tc>
        <w:tc>
          <w:tcPr>
            <w:tcW w:w="987" w:type="dxa"/>
            <w:vAlign w:val="center"/>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8.1</w:t>
            </w:r>
          </w:p>
        </w:tc>
        <w:tc>
          <w:tcPr>
            <w:tcW w:w="1158" w:type="dxa"/>
            <w:vAlign w:val="center"/>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g/km</w:t>
            </w:r>
          </w:p>
        </w:tc>
        <w:tc>
          <w:tcPr>
            <w:tcW w:w="6491"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COPERT, table 3-22, Tier 2 app</w:t>
            </w:r>
            <w:r w:rsidR="00932907">
              <w:rPr>
                <w:rFonts w:asciiTheme="minorHAnsi" w:hAnsiTheme="minorHAnsi"/>
                <w:sz w:val="20"/>
                <w:szCs w:val="20"/>
              </w:rPr>
              <w:t>r</w:t>
            </w:r>
            <w:r w:rsidRPr="000A2B2A">
              <w:rPr>
                <w:rFonts w:asciiTheme="minorHAnsi" w:hAnsiTheme="minorHAnsi"/>
                <w:sz w:val="20"/>
                <w:szCs w:val="20"/>
              </w:rPr>
              <w:t>oach</w:t>
            </w:r>
          </w:p>
        </w:tc>
      </w:tr>
      <w:tr w:rsidR="000A2B2A" w:rsidTr="000A2B2A">
        <w:tc>
          <w:tcPr>
            <w:tcW w:w="5312" w:type="dxa"/>
            <w:vAlign w:val="center"/>
          </w:tcPr>
          <w:p w:rsidR="000A2B2A" w:rsidRPr="000A2B2A" w:rsidRDefault="000A2B2A" w:rsidP="000A2B2A">
            <w:pPr>
              <w:pStyle w:val="NoSpacing"/>
              <w:rPr>
                <w:rFonts w:asciiTheme="minorHAnsi" w:hAnsiTheme="minorHAnsi"/>
                <w:sz w:val="20"/>
                <w:szCs w:val="20"/>
                <w:lang w:val="de-DE"/>
              </w:rPr>
            </w:pPr>
            <w:r w:rsidRPr="000A2B2A">
              <w:rPr>
                <w:rFonts w:asciiTheme="minorHAnsi" w:hAnsiTheme="minorHAnsi"/>
                <w:sz w:val="20"/>
                <w:szCs w:val="20"/>
                <w:lang w:val="de-DE"/>
              </w:rPr>
              <w:t>NOx emission</w:t>
            </w:r>
            <w:r w:rsidR="00932907">
              <w:rPr>
                <w:rFonts w:asciiTheme="minorHAnsi" w:hAnsiTheme="minorHAnsi"/>
                <w:sz w:val="20"/>
                <w:szCs w:val="20"/>
                <w:lang w:val="de-DE"/>
              </w:rPr>
              <w:t>s</w:t>
            </w:r>
            <w:r w:rsidRPr="000A2B2A">
              <w:rPr>
                <w:rFonts w:asciiTheme="minorHAnsi" w:hAnsiTheme="minorHAnsi"/>
                <w:sz w:val="20"/>
                <w:szCs w:val="20"/>
                <w:lang w:val="de-DE"/>
              </w:rPr>
              <w:t xml:space="preserve"> diesel HDV Euro I</w:t>
            </w:r>
          </w:p>
        </w:tc>
        <w:tc>
          <w:tcPr>
            <w:tcW w:w="987" w:type="dxa"/>
            <w:vAlign w:val="center"/>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5.31</w:t>
            </w:r>
          </w:p>
        </w:tc>
        <w:tc>
          <w:tcPr>
            <w:tcW w:w="1158" w:type="dxa"/>
            <w:vAlign w:val="center"/>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g/km</w:t>
            </w:r>
          </w:p>
        </w:tc>
        <w:tc>
          <w:tcPr>
            <w:tcW w:w="6491"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COPERT, table 3-20, Tier 2 app</w:t>
            </w:r>
            <w:r w:rsidR="00932907">
              <w:rPr>
                <w:rFonts w:asciiTheme="minorHAnsi" w:hAnsiTheme="minorHAnsi"/>
                <w:sz w:val="20"/>
                <w:szCs w:val="20"/>
              </w:rPr>
              <w:t>r</w:t>
            </w:r>
            <w:r w:rsidRPr="000A2B2A">
              <w:rPr>
                <w:rFonts w:asciiTheme="minorHAnsi" w:hAnsiTheme="minorHAnsi"/>
                <w:sz w:val="20"/>
                <w:szCs w:val="20"/>
              </w:rPr>
              <w:t>oach</w:t>
            </w:r>
          </w:p>
        </w:tc>
      </w:tr>
      <w:tr w:rsidR="000A2B2A" w:rsidTr="000A2B2A">
        <w:tc>
          <w:tcPr>
            <w:tcW w:w="5312" w:type="dxa"/>
            <w:vAlign w:val="center"/>
          </w:tcPr>
          <w:p w:rsidR="000A2B2A" w:rsidRPr="000A2B2A" w:rsidRDefault="000A2B2A" w:rsidP="000A2B2A">
            <w:pPr>
              <w:pStyle w:val="NoSpacing"/>
              <w:rPr>
                <w:rFonts w:asciiTheme="minorHAnsi" w:hAnsiTheme="minorHAnsi"/>
                <w:sz w:val="20"/>
                <w:szCs w:val="20"/>
                <w:lang w:val="de-DE"/>
              </w:rPr>
            </w:pPr>
            <w:r w:rsidRPr="000A2B2A">
              <w:rPr>
                <w:rFonts w:asciiTheme="minorHAnsi" w:hAnsiTheme="minorHAnsi"/>
                <w:sz w:val="20"/>
                <w:szCs w:val="20"/>
                <w:lang w:val="de-DE"/>
              </w:rPr>
              <w:t>PM 2.5 emission</w:t>
            </w:r>
            <w:r w:rsidR="00932907">
              <w:rPr>
                <w:rFonts w:asciiTheme="minorHAnsi" w:hAnsiTheme="minorHAnsi"/>
                <w:sz w:val="20"/>
                <w:szCs w:val="20"/>
                <w:lang w:val="de-DE"/>
              </w:rPr>
              <w:t>s</w:t>
            </w:r>
            <w:r w:rsidRPr="000A2B2A">
              <w:rPr>
                <w:rFonts w:asciiTheme="minorHAnsi" w:hAnsiTheme="minorHAnsi"/>
                <w:sz w:val="20"/>
                <w:szCs w:val="20"/>
                <w:lang w:val="de-DE"/>
              </w:rPr>
              <w:t xml:space="preserve"> diesel HDV 7.5-16t Euro I</w:t>
            </w:r>
          </w:p>
        </w:tc>
        <w:tc>
          <w:tcPr>
            <w:tcW w:w="987" w:type="dxa"/>
            <w:vAlign w:val="center"/>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0.201</w:t>
            </w:r>
          </w:p>
        </w:tc>
        <w:tc>
          <w:tcPr>
            <w:tcW w:w="1158" w:type="dxa"/>
            <w:vAlign w:val="center"/>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g/km</w:t>
            </w:r>
          </w:p>
        </w:tc>
        <w:tc>
          <w:tcPr>
            <w:tcW w:w="6491"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COPERT, table 3-21, Tier 2 approach</w:t>
            </w:r>
          </w:p>
        </w:tc>
      </w:tr>
      <w:tr w:rsidR="000A2B2A" w:rsidTr="000A2B2A">
        <w:tc>
          <w:tcPr>
            <w:tcW w:w="5312" w:type="dxa"/>
            <w:vAlign w:val="center"/>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BC fraction of PM 2.5 Euro I HDVs</w:t>
            </w:r>
          </w:p>
        </w:tc>
        <w:tc>
          <w:tcPr>
            <w:tcW w:w="987" w:type="dxa"/>
            <w:vAlign w:val="center"/>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65%</w:t>
            </w:r>
          </w:p>
        </w:tc>
        <w:tc>
          <w:tcPr>
            <w:tcW w:w="1158" w:type="dxa"/>
            <w:vAlign w:val="bottom"/>
          </w:tcPr>
          <w:p w:rsidR="000A2B2A" w:rsidRPr="000A2B2A" w:rsidRDefault="000A2B2A" w:rsidP="000A2B2A">
            <w:pPr>
              <w:pStyle w:val="NoSpacing"/>
              <w:jc w:val="center"/>
              <w:rPr>
                <w:rFonts w:asciiTheme="minorHAnsi" w:hAnsiTheme="minorHAnsi"/>
                <w:sz w:val="20"/>
                <w:szCs w:val="20"/>
              </w:rPr>
            </w:pPr>
          </w:p>
        </w:tc>
        <w:tc>
          <w:tcPr>
            <w:tcW w:w="6491"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COPERT; table A.4.0.2 Tier 3</w:t>
            </w:r>
          </w:p>
        </w:tc>
      </w:tr>
      <w:tr w:rsidR="000A2B2A" w:rsidTr="000A2B2A">
        <w:tc>
          <w:tcPr>
            <w:tcW w:w="5312"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GWP100 of BC (total effect incl. direct and Cryosphere effect)</w:t>
            </w:r>
          </w:p>
        </w:tc>
        <w:tc>
          <w:tcPr>
            <w:tcW w:w="987" w:type="dxa"/>
            <w:vAlign w:val="center"/>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900</w:t>
            </w:r>
          </w:p>
        </w:tc>
        <w:tc>
          <w:tcPr>
            <w:tcW w:w="1158" w:type="dxa"/>
            <w:vAlign w:val="center"/>
          </w:tcPr>
          <w:p w:rsidR="000A2B2A" w:rsidRPr="000A2B2A" w:rsidRDefault="000A2B2A" w:rsidP="000A2B2A">
            <w:pPr>
              <w:pStyle w:val="NoSpacing"/>
              <w:jc w:val="center"/>
              <w:rPr>
                <w:rFonts w:asciiTheme="minorHAnsi" w:hAnsiTheme="minorHAnsi"/>
                <w:sz w:val="20"/>
                <w:szCs w:val="20"/>
              </w:rPr>
            </w:pPr>
          </w:p>
        </w:tc>
        <w:tc>
          <w:tcPr>
            <w:tcW w:w="6491"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World Bank, 2014</w:t>
            </w:r>
          </w:p>
        </w:tc>
      </w:tr>
      <w:tr w:rsidR="000A2B2A" w:rsidTr="000A2B2A">
        <w:tc>
          <w:tcPr>
            <w:tcW w:w="5312" w:type="dxa"/>
            <w:vAlign w:val="center"/>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CO</w:t>
            </w:r>
            <w:r w:rsidRPr="000A2B2A">
              <w:rPr>
                <w:rFonts w:asciiTheme="minorHAnsi" w:hAnsiTheme="minorHAnsi"/>
                <w:sz w:val="20"/>
                <w:szCs w:val="20"/>
                <w:vertAlign w:val="subscript"/>
              </w:rPr>
              <w:t>2</w:t>
            </w:r>
            <w:r w:rsidRPr="000A2B2A">
              <w:rPr>
                <w:rFonts w:asciiTheme="minorHAnsi" w:hAnsiTheme="minorHAnsi"/>
                <w:sz w:val="20"/>
                <w:szCs w:val="20"/>
              </w:rPr>
              <w:t xml:space="preserve"> factor of electricity</w:t>
            </w:r>
          </w:p>
        </w:tc>
        <w:tc>
          <w:tcPr>
            <w:tcW w:w="987" w:type="dxa"/>
            <w:vAlign w:val="center"/>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0.649</w:t>
            </w:r>
          </w:p>
        </w:tc>
        <w:tc>
          <w:tcPr>
            <w:tcW w:w="1158" w:type="dxa"/>
            <w:vAlign w:val="center"/>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kgCO</w:t>
            </w:r>
            <w:r w:rsidRPr="000A2B2A">
              <w:rPr>
                <w:rFonts w:asciiTheme="minorHAnsi" w:hAnsiTheme="minorHAnsi"/>
                <w:sz w:val="20"/>
                <w:szCs w:val="20"/>
                <w:vertAlign w:val="subscript"/>
              </w:rPr>
              <w:t>2</w:t>
            </w:r>
            <w:r w:rsidRPr="000A2B2A">
              <w:rPr>
                <w:rFonts w:asciiTheme="minorHAnsi" w:hAnsiTheme="minorHAnsi"/>
                <w:sz w:val="20"/>
                <w:szCs w:val="20"/>
              </w:rPr>
              <w:t>/kWh</w:t>
            </w:r>
          </w:p>
        </w:tc>
        <w:tc>
          <w:tcPr>
            <w:tcW w:w="6491"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Data for 2011 based on OM of 0.666, energy generation excl. hydro of 3</w:t>
            </w:r>
            <w:r w:rsidR="002A0B83">
              <w:rPr>
                <w:rFonts w:asciiTheme="minorHAnsi" w:hAnsiTheme="minorHAnsi"/>
                <w:sz w:val="20"/>
                <w:szCs w:val="20"/>
              </w:rPr>
              <w:t>2.626 GWh and hydro of 0.872 GWh</w:t>
            </w:r>
            <w:r w:rsidRPr="000A2B2A">
              <w:rPr>
                <w:rFonts w:asciiTheme="minorHAnsi" w:hAnsiTheme="minorHAnsi"/>
                <w:sz w:val="20"/>
                <w:szCs w:val="20"/>
              </w:rPr>
              <w:t>: IGES, 2015 for OM and generation (based on DOE) and IEA for hydro 2011</w:t>
            </w:r>
          </w:p>
        </w:tc>
      </w:tr>
    </w:tbl>
    <w:p w:rsidR="000A2B2A" w:rsidRDefault="000A2B2A" w:rsidP="000A2B2A">
      <w:pPr>
        <w:pStyle w:val="Heading2"/>
        <w:rPr>
          <w:rFonts w:asciiTheme="minorHAnsi" w:eastAsiaTheme="minorHAnsi" w:hAnsiTheme="minorHAnsi" w:cstheme="minorBidi"/>
          <w:color w:val="auto"/>
          <w:sz w:val="22"/>
          <w:szCs w:val="22"/>
        </w:rPr>
      </w:pPr>
    </w:p>
    <w:p w:rsidR="00640892" w:rsidRDefault="000A2B2A" w:rsidP="000A2B2A">
      <w:pPr>
        <w:pStyle w:val="Heading2"/>
      </w:pPr>
      <w:bookmarkStart w:id="39" w:name="_Toc466207365"/>
      <w:r>
        <w:t>A</w:t>
      </w:r>
      <w:r w:rsidR="004317A6">
        <w:t>1.</w:t>
      </w:r>
      <w:r>
        <w:t>2: Vehicle Parameters</w:t>
      </w:r>
      <w:bookmarkEnd w:id="39"/>
    </w:p>
    <w:tbl>
      <w:tblPr>
        <w:tblStyle w:val="TableGrid"/>
        <w:tblW w:w="0" w:type="auto"/>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4811"/>
        <w:gridCol w:w="1134"/>
        <w:gridCol w:w="1134"/>
        <w:gridCol w:w="6859"/>
      </w:tblGrid>
      <w:tr w:rsidR="000A2B2A" w:rsidTr="000A4FB5">
        <w:tc>
          <w:tcPr>
            <w:tcW w:w="4815" w:type="dxa"/>
            <w:shd w:val="clear" w:color="auto" w:fill="DEEAF6" w:themeFill="accent1" w:themeFillTint="33"/>
            <w:vAlign w:val="center"/>
          </w:tcPr>
          <w:p w:rsidR="000A2B2A" w:rsidRPr="000A2B2A" w:rsidRDefault="000A2B2A" w:rsidP="000A2B2A">
            <w:pPr>
              <w:pStyle w:val="NoSpacing"/>
              <w:rPr>
                <w:rFonts w:asciiTheme="minorHAnsi" w:hAnsiTheme="minorHAnsi"/>
                <w:b/>
                <w:sz w:val="20"/>
                <w:szCs w:val="20"/>
              </w:rPr>
            </w:pPr>
            <w:r w:rsidRPr="000A2B2A">
              <w:rPr>
                <w:rFonts w:asciiTheme="minorHAnsi" w:hAnsiTheme="minorHAnsi"/>
                <w:b/>
                <w:sz w:val="20"/>
                <w:szCs w:val="20"/>
              </w:rPr>
              <w:t>Parameter</w:t>
            </w:r>
          </w:p>
        </w:tc>
        <w:tc>
          <w:tcPr>
            <w:tcW w:w="1134" w:type="dxa"/>
            <w:shd w:val="clear" w:color="auto" w:fill="DEEAF6" w:themeFill="accent1" w:themeFillTint="33"/>
            <w:vAlign w:val="center"/>
          </w:tcPr>
          <w:p w:rsidR="000A2B2A" w:rsidRPr="000A2B2A" w:rsidRDefault="000A2B2A" w:rsidP="000A2B2A">
            <w:pPr>
              <w:pStyle w:val="NoSpacing"/>
              <w:jc w:val="center"/>
              <w:rPr>
                <w:rFonts w:asciiTheme="minorHAnsi" w:hAnsiTheme="minorHAnsi"/>
                <w:b/>
                <w:sz w:val="20"/>
                <w:szCs w:val="20"/>
              </w:rPr>
            </w:pPr>
            <w:r w:rsidRPr="000A2B2A">
              <w:rPr>
                <w:rFonts w:asciiTheme="minorHAnsi" w:hAnsiTheme="minorHAnsi"/>
                <w:b/>
                <w:sz w:val="20"/>
                <w:szCs w:val="20"/>
              </w:rPr>
              <w:t>Value</w:t>
            </w:r>
          </w:p>
        </w:tc>
        <w:tc>
          <w:tcPr>
            <w:tcW w:w="1134" w:type="dxa"/>
            <w:shd w:val="clear" w:color="auto" w:fill="DEEAF6" w:themeFill="accent1" w:themeFillTint="33"/>
            <w:vAlign w:val="bottom"/>
          </w:tcPr>
          <w:p w:rsidR="000A2B2A" w:rsidRPr="000A2B2A" w:rsidRDefault="000A2B2A" w:rsidP="000A2B2A">
            <w:pPr>
              <w:pStyle w:val="NoSpacing"/>
              <w:jc w:val="center"/>
              <w:rPr>
                <w:rFonts w:asciiTheme="minorHAnsi" w:hAnsiTheme="minorHAnsi"/>
                <w:b/>
                <w:sz w:val="20"/>
                <w:szCs w:val="20"/>
              </w:rPr>
            </w:pPr>
            <w:r w:rsidRPr="000A2B2A">
              <w:rPr>
                <w:rFonts w:asciiTheme="minorHAnsi" w:hAnsiTheme="minorHAnsi"/>
                <w:b/>
                <w:sz w:val="20"/>
                <w:szCs w:val="20"/>
              </w:rPr>
              <w:t>Unit</w:t>
            </w:r>
          </w:p>
        </w:tc>
        <w:tc>
          <w:tcPr>
            <w:tcW w:w="6865" w:type="dxa"/>
            <w:shd w:val="clear" w:color="auto" w:fill="DEEAF6" w:themeFill="accent1" w:themeFillTint="33"/>
            <w:vAlign w:val="center"/>
          </w:tcPr>
          <w:p w:rsidR="000A2B2A" w:rsidRPr="000A2B2A" w:rsidRDefault="000A2B2A" w:rsidP="000A2B2A">
            <w:pPr>
              <w:pStyle w:val="NoSpacing"/>
              <w:rPr>
                <w:rFonts w:asciiTheme="minorHAnsi" w:hAnsiTheme="minorHAnsi"/>
                <w:b/>
                <w:sz w:val="20"/>
                <w:szCs w:val="20"/>
              </w:rPr>
            </w:pPr>
            <w:r w:rsidRPr="000A2B2A">
              <w:rPr>
                <w:rFonts w:asciiTheme="minorHAnsi" w:hAnsiTheme="minorHAnsi"/>
                <w:b/>
                <w:sz w:val="20"/>
                <w:szCs w:val="20"/>
              </w:rPr>
              <w:t>Source</w:t>
            </w:r>
          </w:p>
        </w:tc>
      </w:tr>
      <w:tr w:rsidR="000A2B2A" w:rsidTr="000A4FB5">
        <w:tc>
          <w:tcPr>
            <w:tcW w:w="4815" w:type="dxa"/>
            <w:vAlign w:val="center"/>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Specific fuel consumption diesel coach (inter-urban bus)</w:t>
            </w:r>
          </w:p>
        </w:tc>
        <w:tc>
          <w:tcPr>
            <w:tcW w:w="1134" w:type="dxa"/>
            <w:vAlign w:val="center"/>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43</w:t>
            </w:r>
          </w:p>
        </w:tc>
        <w:tc>
          <w:tcPr>
            <w:tcW w:w="1134" w:type="dxa"/>
            <w:vAlign w:val="center"/>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l/100km</w:t>
            </w:r>
          </w:p>
        </w:tc>
        <w:tc>
          <w:tcPr>
            <w:tcW w:w="6865" w:type="dxa"/>
            <w:vAlign w:val="bottom"/>
          </w:tcPr>
          <w:p w:rsidR="000A2B2A" w:rsidRPr="000A2B2A" w:rsidRDefault="00C14C7F" w:rsidP="000A2B2A">
            <w:pPr>
              <w:pStyle w:val="NoSpacing"/>
              <w:rPr>
                <w:rFonts w:asciiTheme="minorHAnsi" w:hAnsiTheme="minorHAnsi"/>
                <w:sz w:val="20"/>
                <w:szCs w:val="20"/>
              </w:rPr>
            </w:pPr>
            <w:r>
              <w:rPr>
                <w:rFonts w:asciiTheme="minorHAnsi" w:hAnsiTheme="minorHAnsi"/>
                <w:sz w:val="20"/>
                <w:szCs w:val="20"/>
              </w:rPr>
              <w:t>Grütter</w:t>
            </w:r>
            <w:r w:rsidR="000A2B2A" w:rsidRPr="000A2B2A">
              <w:rPr>
                <w:rFonts w:asciiTheme="minorHAnsi" w:hAnsiTheme="minorHAnsi"/>
                <w:sz w:val="20"/>
                <w:szCs w:val="20"/>
              </w:rPr>
              <w:t xml:space="preserve"> Consulting, 2016a based on a survey of inter-urban buses, Bangladesh; all diesel</w:t>
            </w:r>
          </w:p>
        </w:tc>
      </w:tr>
      <w:tr w:rsidR="000A2B2A" w:rsidTr="000A4FB5">
        <w:tc>
          <w:tcPr>
            <w:tcW w:w="4815"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Occupation rate coach</w:t>
            </w:r>
          </w:p>
        </w:tc>
        <w:tc>
          <w:tcPr>
            <w:tcW w:w="1134" w:type="dxa"/>
            <w:vAlign w:val="bottom"/>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80%</w:t>
            </w:r>
          </w:p>
        </w:tc>
        <w:tc>
          <w:tcPr>
            <w:tcW w:w="1134" w:type="dxa"/>
            <w:vAlign w:val="bottom"/>
          </w:tcPr>
          <w:p w:rsidR="000A2B2A" w:rsidRPr="000A2B2A" w:rsidRDefault="000A2B2A" w:rsidP="000A2B2A">
            <w:pPr>
              <w:pStyle w:val="NoSpacing"/>
              <w:jc w:val="center"/>
              <w:rPr>
                <w:rFonts w:asciiTheme="minorHAnsi" w:hAnsiTheme="minorHAnsi"/>
                <w:sz w:val="20"/>
                <w:szCs w:val="20"/>
              </w:rPr>
            </w:pPr>
          </w:p>
        </w:tc>
        <w:tc>
          <w:tcPr>
            <w:tcW w:w="6865" w:type="dxa"/>
            <w:vAlign w:val="bottom"/>
          </w:tcPr>
          <w:p w:rsidR="000A2B2A" w:rsidRPr="000A2B2A" w:rsidRDefault="00C14C7F" w:rsidP="000A2B2A">
            <w:pPr>
              <w:pStyle w:val="NoSpacing"/>
              <w:rPr>
                <w:rFonts w:asciiTheme="minorHAnsi" w:hAnsiTheme="minorHAnsi"/>
                <w:sz w:val="20"/>
                <w:szCs w:val="20"/>
              </w:rPr>
            </w:pPr>
            <w:r>
              <w:rPr>
                <w:rFonts w:asciiTheme="minorHAnsi" w:hAnsiTheme="minorHAnsi"/>
                <w:sz w:val="20"/>
                <w:szCs w:val="20"/>
              </w:rPr>
              <w:t>Grütter</w:t>
            </w:r>
            <w:r w:rsidR="000A2B2A" w:rsidRPr="000A2B2A">
              <w:rPr>
                <w:rFonts w:asciiTheme="minorHAnsi" w:hAnsiTheme="minorHAnsi"/>
                <w:sz w:val="20"/>
                <w:szCs w:val="20"/>
              </w:rPr>
              <w:t xml:space="preserve"> Consulting, 2016a based on a survey of inter-urban buses, Bangladesh </w:t>
            </w:r>
          </w:p>
        </w:tc>
      </w:tr>
      <w:tr w:rsidR="000A2B2A" w:rsidTr="000A4FB5">
        <w:tc>
          <w:tcPr>
            <w:tcW w:w="4815"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Coach capacity total</w:t>
            </w:r>
          </w:p>
        </w:tc>
        <w:tc>
          <w:tcPr>
            <w:tcW w:w="1134" w:type="dxa"/>
            <w:vAlign w:val="bottom"/>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40</w:t>
            </w:r>
          </w:p>
        </w:tc>
        <w:tc>
          <w:tcPr>
            <w:tcW w:w="1134" w:type="dxa"/>
            <w:vAlign w:val="bottom"/>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passengers</w:t>
            </w:r>
          </w:p>
        </w:tc>
        <w:tc>
          <w:tcPr>
            <w:tcW w:w="6865" w:type="dxa"/>
            <w:vAlign w:val="bottom"/>
          </w:tcPr>
          <w:p w:rsidR="000A2B2A" w:rsidRPr="000A2B2A" w:rsidRDefault="00C14C7F" w:rsidP="000A2B2A">
            <w:pPr>
              <w:pStyle w:val="NoSpacing"/>
              <w:rPr>
                <w:rFonts w:asciiTheme="minorHAnsi" w:hAnsiTheme="minorHAnsi"/>
                <w:sz w:val="20"/>
                <w:szCs w:val="20"/>
              </w:rPr>
            </w:pPr>
            <w:r>
              <w:rPr>
                <w:rFonts w:asciiTheme="minorHAnsi" w:hAnsiTheme="minorHAnsi"/>
                <w:sz w:val="20"/>
                <w:szCs w:val="20"/>
              </w:rPr>
              <w:t>Grütter</w:t>
            </w:r>
            <w:r w:rsidR="000A2B2A" w:rsidRPr="000A2B2A">
              <w:rPr>
                <w:rFonts w:asciiTheme="minorHAnsi" w:hAnsiTheme="minorHAnsi"/>
                <w:sz w:val="20"/>
                <w:szCs w:val="20"/>
              </w:rPr>
              <w:t xml:space="preserve"> Consulting, 2016a based on a survey of inter-urban buses, Bangladesh </w:t>
            </w:r>
          </w:p>
        </w:tc>
      </w:tr>
      <w:tr w:rsidR="000A2B2A" w:rsidTr="000A4FB5">
        <w:tc>
          <w:tcPr>
            <w:tcW w:w="4815"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BC emissions coach</w:t>
            </w:r>
          </w:p>
        </w:tc>
        <w:tc>
          <w:tcPr>
            <w:tcW w:w="1134" w:type="dxa"/>
            <w:vAlign w:val="bottom"/>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0.235</w:t>
            </w:r>
          </w:p>
        </w:tc>
        <w:tc>
          <w:tcPr>
            <w:tcW w:w="1134" w:type="dxa"/>
            <w:vAlign w:val="bottom"/>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g/km</w:t>
            </w:r>
          </w:p>
        </w:tc>
        <w:tc>
          <w:tcPr>
            <w:tcW w:w="6865"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calculation based on BC content and PM emissions coach Euro I</w:t>
            </w:r>
          </w:p>
        </w:tc>
      </w:tr>
      <w:tr w:rsidR="000A2B2A" w:rsidTr="000A4FB5">
        <w:tc>
          <w:tcPr>
            <w:tcW w:w="4815" w:type="dxa"/>
            <w:vAlign w:val="center"/>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SFC trucks diesel</w:t>
            </w:r>
          </w:p>
        </w:tc>
        <w:tc>
          <w:tcPr>
            <w:tcW w:w="1134" w:type="dxa"/>
            <w:vAlign w:val="center"/>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34</w:t>
            </w:r>
          </w:p>
        </w:tc>
        <w:tc>
          <w:tcPr>
            <w:tcW w:w="1134" w:type="dxa"/>
            <w:vAlign w:val="center"/>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l/100km</w:t>
            </w:r>
          </w:p>
        </w:tc>
        <w:tc>
          <w:tcPr>
            <w:tcW w:w="6865"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 xml:space="preserve">all diesel; </w:t>
            </w:r>
            <w:r w:rsidR="00C14C7F">
              <w:rPr>
                <w:rFonts w:asciiTheme="minorHAnsi" w:hAnsiTheme="minorHAnsi"/>
                <w:sz w:val="20"/>
                <w:szCs w:val="20"/>
              </w:rPr>
              <w:t>Grütter</w:t>
            </w:r>
            <w:r w:rsidRPr="000A2B2A">
              <w:rPr>
                <w:rFonts w:asciiTheme="minorHAnsi" w:hAnsiTheme="minorHAnsi"/>
                <w:sz w:val="20"/>
                <w:szCs w:val="20"/>
              </w:rPr>
              <w:t xml:space="preserve"> Consulting, 2016b based on survey of long-haul trucks, Bangladesh</w:t>
            </w:r>
          </w:p>
        </w:tc>
      </w:tr>
      <w:tr w:rsidR="000A2B2A" w:rsidTr="000A4FB5">
        <w:tc>
          <w:tcPr>
            <w:tcW w:w="4815" w:type="dxa"/>
            <w:vAlign w:val="center"/>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lastRenderedPageBreak/>
              <w:t>Average net load</w:t>
            </w:r>
          </w:p>
        </w:tc>
        <w:tc>
          <w:tcPr>
            <w:tcW w:w="1134" w:type="dxa"/>
            <w:vAlign w:val="center"/>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8.3</w:t>
            </w:r>
          </w:p>
        </w:tc>
        <w:tc>
          <w:tcPr>
            <w:tcW w:w="1134" w:type="dxa"/>
            <w:vAlign w:val="center"/>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tons</w:t>
            </w:r>
          </w:p>
        </w:tc>
        <w:tc>
          <w:tcPr>
            <w:tcW w:w="6865"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 xml:space="preserve">Based on survey with tkm/km of records; </w:t>
            </w:r>
            <w:r w:rsidR="00C14C7F">
              <w:rPr>
                <w:rFonts w:asciiTheme="minorHAnsi" w:hAnsiTheme="minorHAnsi"/>
                <w:sz w:val="20"/>
                <w:szCs w:val="20"/>
              </w:rPr>
              <w:t>Grütter</w:t>
            </w:r>
            <w:r w:rsidRPr="000A2B2A">
              <w:rPr>
                <w:rFonts w:asciiTheme="minorHAnsi" w:hAnsiTheme="minorHAnsi"/>
                <w:sz w:val="20"/>
                <w:szCs w:val="20"/>
              </w:rPr>
              <w:t xml:space="preserve"> Consulting, 2016b based on survey of long-haul trucks, Bangladesh</w:t>
            </w:r>
          </w:p>
        </w:tc>
      </w:tr>
      <w:tr w:rsidR="000A2B2A" w:rsidTr="000A4FB5">
        <w:tc>
          <w:tcPr>
            <w:tcW w:w="4815"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Capacity load trucks</w:t>
            </w:r>
          </w:p>
        </w:tc>
        <w:tc>
          <w:tcPr>
            <w:tcW w:w="1134" w:type="dxa"/>
            <w:vAlign w:val="bottom"/>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9.8</w:t>
            </w:r>
          </w:p>
        </w:tc>
        <w:tc>
          <w:tcPr>
            <w:tcW w:w="1134" w:type="dxa"/>
            <w:vAlign w:val="bottom"/>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tons</w:t>
            </w:r>
          </w:p>
        </w:tc>
        <w:tc>
          <w:tcPr>
            <w:tcW w:w="6865" w:type="dxa"/>
            <w:vAlign w:val="bottom"/>
          </w:tcPr>
          <w:p w:rsidR="000A2B2A" w:rsidRPr="000A2B2A" w:rsidRDefault="00C14C7F" w:rsidP="000A2B2A">
            <w:pPr>
              <w:pStyle w:val="NoSpacing"/>
              <w:rPr>
                <w:rFonts w:asciiTheme="minorHAnsi" w:hAnsiTheme="minorHAnsi"/>
                <w:sz w:val="20"/>
                <w:szCs w:val="20"/>
              </w:rPr>
            </w:pPr>
            <w:r>
              <w:rPr>
                <w:rFonts w:asciiTheme="minorHAnsi" w:hAnsiTheme="minorHAnsi"/>
                <w:sz w:val="20"/>
                <w:szCs w:val="20"/>
              </w:rPr>
              <w:t>Grütter</w:t>
            </w:r>
            <w:r w:rsidR="000A2B2A" w:rsidRPr="000A2B2A">
              <w:rPr>
                <w:rFonts w:asciiTheme="minorHAnsi" w:hAnsiTheme="minorHAnsi"/>
                <w:sz w:val="20"/>
                <w:szCs w:val="20"/>
              </w:rPr>
              <w:t xml:space="preserve"> Consulting, 2016b based on survey of long-haul trucks, Bangladesh</w:t>
            </w:r>
          </w:p>
        </w:tc>
      </w:tr>
      <w:tr w:rsidR="000A2B2A" w:rsidTr="000A4FB5">
        <w:tc>
          <w:tcPr>
            <w:tcW w:w="4815"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Average load factor trucks</w:t>
            </w:r>
          </w:p>
        </w:tc>
        <w:tc>
          <w:tcPr>
            <w:tcW w:w="1134" w:type="dxa"/>
            <w:vAlign w:val="bottom"/>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82%</w:t>
            </w:r>
          </w:p>
        </w:tc>
        <w:tc>
          <w:tcPr>
            <w:tcW w:w="1134" w:type="dxa"/>
            <w:vAlign w:val="bottom"/>
          </w:tcPr>
          <w:p w:rsidR="000A2B2A" w:rsidRPr="000A2B2A" w:rsidRDefault="000A2B2A" w:rsidP="000A2B2A">
            <w:pPr>
              <w:pStyle w:val="NoSpacing"/>
              <w:jc w:val="center"/>
              <w:rPr>
                <w:rFonts w:asciiTheme="minorHAnsi" w:hAnsiTheme="minorHAnsi"/>
                <w:sz w:val="20"/>
                <w:szCs w:val="20"/>
              </w:rPr>
            </w:pPr>
          </w:p>
        </w:tc>
        <w:tc>
          <w:tcPr>
            <w:tcW w:w="6865" w:type="dxa"/>
            <w:vAlign w:val="bottom"/>
          </w:tcPr>
          <w:p w:rsidR="000A2B2A" w:rsidRPr="000A2B2A" w:rsidRDefault="00C14C7F" w:rsidP="000A2B2A">
            <w:pPr>
              <w:pStyle w:val="NoSpacing"/>
              <w:rPr>
                <w:rFonts w:asciiTheme="minorHAnsi" w:hAnsiTheme="minorHAnsi"/>
                <w:sz w:val="20"/>
                <w:szCs w:val="20"/>
              </w:rPr>
            </w:pPr>
            <w:r>
              <w:rPr>
                <w:rFonts w:asciiTheme="minorHAnsi" w:hAnsiTheme="minorHAnsi"/>
                <w:sz w:val="20"/>
                <w:szCs w:val="20"/>
              </w:rPr>
              <w:t>Grütter</w:t>
            </w:r>
            <w:r w:rsidR="000A2B2A" w:rsidRPr="000A2B2A">
              <w:rPr>
                <w:rFonts w:asciiTheme="minorHAnsi" w:hAnsiTheme="minorHAnsi"/>
                <w:sz w:val="20"/>
                <w:szCs w:val="20"/>
              </w:rPr>
              <w:t xml:space="preserve"> Consulting, 2016b based on survey of long-haul trucks, Bangladesh</w:t>
            </w:r>
          </w:p>
        </w:tc>
      </w:tr>
      <w:tr w:rsidR="000A2B2A" w:rsidTr="000A4FB5">
        <w:tc>
          <w:tcPr>
            <w:tcW w:w="4815"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BC emissions trucks</w:t>
            </w:r>
          </w:p>
        </w:tc>
        <w:tc>
          <w:tcPr>
            <w:tcW w:w="1134" w:type="dxa"/>
            <w:vAlign w:val="bottom"/>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0.131</w:t>
            </w:r>
          </w:p>
        </w:tc>
        <w:tc>
          <w:tcPr>
            <w:tcW w:w="1134" w:type="dxa"/>
            <w:vAlign w:val="bottom"/>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g/km</w:t>
            </w:r>
          </w:p>
        </w:tc>
        <w:tc>
          <w:tcPr>
            <w:tcW w:w="6865"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calculation based on BC content and PM emissions HDV 7.5-16t, Euro I</w:t>
            </w:r>
          </w:p>
        </w:tc>
      </w:tr>
      <w:tr w:rsidR="000A2B2A" w:rsidTr="000A4FB5">
        <w:tc>
          <w:tcPr>
            <w:tcW w:w="4815" w:type="dxa"/>
            <w:vAlign w:val="center"/>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Diesel fuel consumption</w:t>
            </w:r>
          </w:p>
        </w:tc>
        <w:tc>
          <w:tcPr>
            <w:tcW w:w="1134" w:type="dxa"/>
            <w:vAlign w:val="center"/>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34,916</w:t>
            </w:r>
          </w:p>
        </w:tc>
        <w:tc>
          <w:tcPr>
            <w:tcW w:w="1134" w:type="dxa"/>
            <w:vAlign w:val="center"/>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tons</w:t>
            </w:r>
          </w:p>
        </w:tc>
        <w:tc>
          <w:tcPr>
            <w:tcW w:w="6865"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BR, 2015; period 2013-14</w:t>
            </w:r>
          </w:p>
        </w:tc>
      </w:tr>
      <w:tr w:rsidR="000A2B2A" w:rsidTr="000A4FB5">
        <w:tc>
          <w:tcPr>
            <w:tcW w:w="4815"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Engine-km passengers</w:t>
            </w:r>
          </w:p>
        </w:tc>
        <w:tc>
          <w:tcPr>
            <w:tcW w:w="1134" w:type="dxa"/>
            <w:vAlign w:val="bottom"/>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12,334,000</w:t>
            </w:r>
          </w:p>
        </w:tc>
        <w:tc>
          <w:tcPr>
            <w:tcW w:w="1134" w:type="dxa"/>
            <w:vAlign w:val="bottom"/>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km</w:t>
            </w:r>
          </w:p>
        </w:tc>
        <w:tc>
          <w:tcPr>
            <w:tcW w:w="6865"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BR, 2015; period 2013-14</w:t>
            </w:r>
          </w:p>
        </w:tc>
      </w:tr>
      <w:tr w:rsidR="000A2B2A" w:rsidTr="000A4FB5">
        <w:tc>
          <w:tcPr>
            <w:tcW w:w="4815"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Engine-km freight</w:t>
            </w:r>
          </w:p>
        </w:tc>
        <w:tc>
          <w:tcPr>
            <w:tcW w:w="1134" w:type="dxa"/>
            <w:vAlign w:val="bottom"/>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1,177,000</w:t>
            </w:r>
          </w:p>
        </w:tc>
        <w:tc>
          <w:tcPr>
            <w:tcW w:w="1134" w:type="dxa"/>
            <w:vAlign w:val="bottom"/>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km</w:t>
            </w:r>
          </w:p>
        </w:tc>
        <w:tc>
          <w:tcPr>
            <w:tcW w:w="6865"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BR, 2015; period 2013-14</w:t>
            </w:r>
          </w:p>
        </w:tc>
      </w:tr>
      <w:tr w:rsidR="000A2B2A" w:rsidTr="000A4FB5">
        <w:tc>
          <w:tcPr>
            <w:tcW w:w="4815"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Engine-km others</w:t>
            </w:r>
          </w:p>
        </w:tc>
        <w:tc>
          <w:tcPr>
            <w:tcW w:w="1134" w:type="dxa"/>
            <w:vAlign w:val="bottom"/>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1,489,000</w:t>
            </w:r>
          </w:p>
        </w:tc>
        <w:tc>
          <w:tcPr>
            <w:tcW w:w="1134" w:type="dxa"/>
            <w:vAlign w:val="bottom"/>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km</w:t>
            </w:r>
          </w:p>
        </w:tc>
        <w:tc>
          <w:tcPr>
            <w:tcW w:w="6865"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BR, 2015; period 2013-14</w:t>
            </w:r>
          </w:p>
        </w:tc>
      </w:tr>
      <w:tr w:rsidR="000A2B2A" w:rsidTr="000A4FB5">
        <w:tc>
          <w:tcPr>
            <w:tcW w:w="4815"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Passenger km (million)</w:t>
            </w:r>
          </w:p>
        </w:tc>
        <w:tc>
          <w:tcPr>
            <w:tcW w:w="1134" w:type="dxa"/>
            <w:vAlign w:val="bottom"/>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8,135</w:t>
            </w:r>
          </w:p>
        </w:tc>
        <w:tc>
          <w:tcPr>
            <w:tcW w:w="1134" w:type="dxa"/>
            <w:vAlign w:val="bottom"/>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pkm</w:t>
            </w:r>
          </w:p>
        </w:tc>
        <w:tc>
          <w:tcPr>
            <w:tcW w:w="6865"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BR, 2015; period 2013-14</w:t>
            </w:r>
          </w:p>
        </w:tc>
      </w:tr>
      <w:tr w:rsidR="000A2B2A" w:rsidTr="000A4FB5">
        <w:tc>
          <w:tcPr>
            <w:tcW w:w="4815"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Freight tkm (million)</w:t>
            </w:r>
          </w:p>
        </w:tc>
        <w:tc>
          <w:tcPr>
            <w:tcW w:w="1134" w:type="dxa"/>
            <w:vAlign w:val="bottom"/>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677</w:t>
            </w:r>
          </w:p>
        </w:tc>
        <w:tc>
          <w:tcPr>
            <w:tcW w:w="1134" w:type="dxa"/>
            <w:vAlign w:val="bottom"/>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tkm</w:t>
            </w:r>
          </w:p>
        </w:tc>
        <w:tc>
          <w:tcPr>
            <w:tcW w:w="6865"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BR, 2015; period 2013-14</w:t>
            </w:r>
          </w:p>
        </w:tc>
      </w:tr>
      <w:tr w:rsidR="000A2B2A" w:rsidTr="000A4FB5">
        <w:tc>
          <w:tcPr>
            <w:tcW w:w="4815"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Average passenger trip distance</w:t>
            </w:r>
          </w:p>
        </w:tc>
        <w:tc>
          <w:tcPr>
            <w:tcW w:w="1134" w:type="dxa"/>
            <w:vAlign w:val="bottom"/>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125</w:t>
            </w:r>
          </w:p>
        </w:tc>
        <w:tc>
          <w:tcPr>
            <w:tcW w:w="1134" w:type="dxa"/>
            <w:vAlign w:val="bottom"/>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km</w:t>
            </w:r>
          </w:p>
        </w:tc>
        <w:tc>
          <w:tcPr>
            <w:tcW w:w="6865"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BR, 2015; period 2013-14</w:t>
            </w:r>
          </w:p>
        </w:tc>
      </w:tr>
      <w:tr w:rsidR="000A2B2A" w:rsidTr="000A4FB5">
        <w:tc>
          <w:tcPr>
            <w:tcW w:w="4815"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Lead distance freight</w:t>
            </w:r>
          </w:p>
        </w:tc>
        <w:tc>
          <w:tcPr>
            <w:tcW w:w="1134" w:type="dxa"/>
            <w:vAlign w:val="bottom"/>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268</w:t>
            </w:r>
          </w:p>
        </w:tc>
        <w:tc>
          <w:tcPr>
            <w:tcW w:w="1134" w:type="dxa"/>
            <w:vAlign w:val="bottom"/>
          </w:tcPr>
          <w:p w:rsidR="000A2B2A" w:rsidRPr="000A2B2A" w:rsidRDefault="000A2B2A" w:rsidP="000A2B2A">
            <w:pPr>
              <w:pStyle w:val="NoSpacing"/>
              <w:jc w:val="center"/>
              <w:rPr>
                <w:rFonts w:asciiTheme="minorHAnsi" w:hAnsiTheme="minorHAnsi"/>
                <w:sz w:val="20"/>
                <w:szCs w:val="20"/>
              </w:rPr>
            </w:pPr>
            <w:r w:rsidRPr="000A2B2A">
              <w:rPr>
                <w:rFonts w:asciiTheme="minorHAnsi" w:hAnsiTheme="minorHAnsi"/>
                <w:sz w:val="20"/>
                <w:szCs w:val="20"/>
              </w:rPr>
              <w:t>km</w:t>
            </w:r>
          </w:p>
        </w:tc>
        <w:tc>
          <w:tcPr>
            <w:tcW w:w="6865" w:type="dxa"/>
            <w:vAlign w:val="bottom"/>
          </w:tcPr>
          <w:p w:rsidR="000A2B2A" w:rsidRPr="000A2B2A" w:rsidRDefault="000A2B2A" w:rsidP="000A2B2A">
            <w:pPr>
              <w:pStyle w:val="NoSpacing"/>
              <w:rPr>
                <w:rFonts w:asciiTheme="minorHAnsi" w:hAnsiTheme="minorHAnsi"/>
                <w:sz w:val="20"/>
                <w:szCs w:val="20"/>
              </w:rPr>
            </w:pPr>
            <w:r w:rsidRPr="000A2B2A">
              <w:rPr>
                <w:rFonts w:asciiTheme="minorHAnsi" w:hAnsiTheme="minorHAnsi"/>
                <w:sz w:val="20"/>
                <w:szCs w:val="20"/>
              </w:rPr>
              <w:t>BR, 2015; period 2013-14</w:t>
            </w:r>
          </w:p>
        </w:tc>
      </w:tr>
    </w:tbl>
    <w:p w:rsidR="000A2B2A" w:rsidRDefault="000A2B2A" w:rsidP="000A2B2A"/>
    <w:p w:rsidR="000A2B2A" w:rsidRDefault="000A4FB5" w:rsidP="000A4FB5">
      <w:pPr>
        <w:pStyle w:val="Heading2"/>
      </w:pPr>
      <w:bookmarkStart w:id="40" w:name="_Toc466207366"/>
      <w:r>
        <w:t>A</w:t>
      </w:r>
      <w:r w:rsidR="004317A6">
        <w:t>1.</w:t>
      </w:r>
      <w:r>
        <w:t>3: Emission Factors Per Mode Passenger Transport</w:t>
      </w:r>
      <w:bookmarkEnd w:id="40"/>
    </w:p>
    <w:tbl>
      <w:tblPr>
        <w:tblW w:w="7928" w:type="dxa"/>
        <w:tblLook w:val="04A0" w:firstRow="1" w:lastRow="0" w:firstColumn="1" w:lastColumn="0" w:noHBand="0" w:noVBand="1"/>
      </w:tblPr>
      <w:tblGrid>
        <w:gridCol w:w="2400"/>
        <w:gridCol w:w="1540"/>
        <w:gridCol w:w="1160"/>
        <w:gridCol w:w="1000"/>
        <w:gridCol w:w="1828"/>
      </w:tblGrid>
      <w:tr w:rsidR="000A4FB5" w:rsidRPr="000A4FB5" w:rsidTr="000A4FB5">
        <w:trPr>
          <w:trHeight w:val="265"/>
        </w:trPr>
        <w:tc>
          <w:tcPr>
            <w:tcW w:w="2400" w:type="dxa"/>
            <w:tcBorders>
              <w:top w:val="single" w:sz="8" w:space="0" w:color="auto"/>
              <w:left w:val="single" w:sz="8" w:space="0" w:color="auto"/>
              <w:bottom w:val="single" w:sz="4" w:space="0" w:color="auto"/>
              <w:right w:val="single" w:sz="4" w:space="0" w:color="auto"/>
            </w:tcBorders>
            <w:shd w:val="clear" w:color="000000" w:fill="DDEBF7"/>
            <w:noWrap/>
            <w:vAlign w:val="bottom"/>
            <w:hideMark/>
          </w:tcPr>
          <w:p w:rsidR="000A4FB5" w:rsidRPr="000A4FB5" w:rsidRDefault="000A4FB5" w:rsidP="000A4FB5">
            <w:pPr>
              <w:spacing w:after="0" w:line="240" w:lineRule="auto"/>
              <w:rPr>
                <w:rFonts w:ascii="Calibri" w:eastAsia="Times New Roman" w:hAnsi="Calibri" w:cs="Times New Roman"/>
                <w:b/>
                <w:bCs/>
                <w:color w:val="000000"/>
                <w:sz w:val="20"/>
                <w:lang w:eastAsia="en-GB"/>
              </w:rPr>
            </w:pPr>
            <w:r w:rsidRPr="000A4FB5">
              <w:rPr>
                <w:rFonts w:ascii="Calibri" w:eastAsia="Times New Roman" w:hAnsi="Calibri" w:cs="Times New Roman"/>
                <w:b/>
                <w:bCs/>
                <w:color w:val="000000"/>
                <w:sz w:val="20"/>
                <w:lang w:eastAsia="en-GB"/>
              </w:rPr>
              <w:t>Mode</w:t>
            </w:r>
          </w:p>
        </w:tc>
        <w:tc>
          <w:tcPr>
            <w:tcW w:w="1540" w:type="dxa"/>
            <w:tcBorders>
              <w:top w:val="single" w:sz="8" w:space="0" w:color="auto"/>
              <w:left w:val="nil"/>
              <w:bottom w:val="single" w:sz="4" w:space="0" w:color="auto"/>
              <w:right w:val="single" w:sz="4" w:space="0" w:color="auto"/>
            </w:tcBorders>
            <w:shd w:val="clear" w:color="000000" w:fill="DDEBF7"/>
            <w:noWrap/>
            <w:vAlign w:val="bottom"/>
            <w:hideMark/>
          </w:tcPr>
          <w:p w:rsidR="000A4FB5" w:rsidRPr="000A4FB5" w:rsidRDefault="000A4FB5" w:rsidP="000A4FB5">
            <w:pPr>
              <w:spacing w:after="0" w:line="240" w:lineRule="auto"/>
              <w:jc w:val="center"/>
              <w:rPr>
                <w:rFonts w:ascii="Calibri" w:eastAsia="Times New Roman" w:hAnsi="Calibri" w:cs="Times New Roman"/>
                <w:b/>
                <w:bCs/>
                <w:color w:val="000000"/>
                <w:sz w:val="20"/>
                <w:lang w:eastAsia="en-GB"/>
              </w:rPr>
            </w:pPr>
            <w:r w:rsidRPr="000A4FB5">
              <w:rPr>
                <w:rFonts w:ascii="Calibri" w:eastAsia="Times New Roman" w:hAnsi="Calibri" w:cs="Times New Roman"/>
                <w:b/>
                <w:bCs/>
                <w:color w:val="000000"/>
                <w:sz w:val="20"/>
                <w:lang w:eastAsia="en-GB"/>
              </w:rPr>
              <w:t>GHG TTW</w:t>
            </w:r>
          </w:p>
        </w:tc>
        <w:tc>
          <w:tcPr>
            <w:tcW w:w="1160" w:type="dxa"/>
            <w:tcBorders>
              <w:top w:val="single" w:sz="8" w:space="0" w:color="auto"/>
              <w:left w:val="nil"/>
              <w:bottom w:val="single" w:sz="4" w:space="0" w:color="auto"/>
              <w:right w:val="single" w:sz="4" w:space="0" w:color="auto"/>
            </w:tcBorders>
            <w:shd w:val="clear" w:color="000000" w:fill="DDEBF7"/>
            <w:noWrap/>
            <w:vAlign w:val="bottom"/>
            <w:hideMark/>
          </w:tcPr>
          <w:p w:rsidR="000A4FB5" w:rsidRPr="000A4FB5" w:rsidRDefault="000A4FB5" w:rsidP="000A4FB5">
            <w:pPr>
              <w:spacing w:after="0" w:line="240" w:lineRule="auto"/>
              <w:jc w:val="center"/>
              <w:rPr>
                <w:rFonts w:ascii="Calibri" w:eastAsia="Times New Roman" w:hAnsi="Calibri" w:cs="Times New Roman"/>
                <w:b/>
                <w:bCs/>
                <w:color w:val="000000"/>
                <w:sz w:val="20"/>
                <w:lang w:eastAsia="en-GB"/>
              </w:rPr>
            </w:pPr>
            <w:r w:rsidRPr="000A4FB5">
              <w:rPr>
                <w:rFonts w:ascii="Calibri" w:eastAsia="Times New Roman" w:hAnsi="Calibri" w:cs="Times New Roman"/>
                <w:b/>
                <w:bCs/>
                <w:color w:val="000000"/>
                <w:sz w:val="20"/>
                <w:lang w:eastAsia="en-GB"/>
              </w:rPr>
              <w:t>GHG WTW</w:t>
            </w:r>
          </w:p>
        </w:tc>
        <w:tc>
          <w:tcPr>
            <w:tcW w:w="1000" w:type="dxa"/>
            <w:tcBorders>
              <w:top w:val="single" w:sz="8" w:space="0" w:color="auto"/>
              <w:left w:val="nil"/>
              <w:bottom w:val="single" w:sz="4" w:space="0" w:color="auto"/>
              <w:right w:val="single" w:sz="4" w:space="0" w:color="auto"/>
            </w:tcBorders>
            <w:shd w:val="clear" w:color="000000" w:fill="DDEBF7"/>
            <w:noWrap/>
            <w:vAlign w:val="bottom"/>
            <w:hideMark/>
          </w:tcPr>
          <w:p w:rsidR="000A4FB5" w:rsidRPr="000A4FB5" w:rsidRDefault="000A4FB5" w:rsidP="000A4FB5">
            <w:pPr>
              <w:spacing w:after="0" w:line="240" w:lineRule="auto"/>
              <w:jc w:val="center"/>
              <w:rPr>
                <w:rFonts w:ascii="Calibri" w:eastAsia="Times New Roman" w:hAnsi="Calibri" w:cs="Times New Roman"/>
                <w:b/>
                <w:bCs/>
                <w:color w:val="000000"/>
                <w:sz w:val="20"/>
                <w:lang w:eastAsia="en-GB"/>
              </w:rPr>
            </w:pPr>
            <w:r w:rsidRPr="000A4FB5">
              <w:rPr>
                <w:rFonts w:ascii="Calibri" w:eastAsia="Times New Roman" w:hAnsi="Calibri" w:cs="Times New Roman"/>
                <w:b/>
                <w:bCs/>
                <w:color w:val="000000"/>
                <w:sz w:val="20"/>
                <w:lang w:eastAsia="en-GB"/>
              </w:rPr>
              <w:t>BC</w:t>
            </w:r>
          </w:p>
        </w:tc>
        <w:tc>
          <w:tcPr>
            <w:tcW w:w="1828" w:type="dxa"/>
            <w:tcBorders>
              <w:top w:val="single" w:sz="8" w:space="0" w:color="auto"/>
              <w:left w:val="nil"/>
              <w:bottom w:val="single" w:sz="4" w:space="0" w:color="auto"/>
              <w:right w:val="single" w:sz="8" w:space="0" w:color="auto"/>
            </w:tcBorders>
            <w:shd w:val="clear" w:color="000000" w:fill="DDEBF7"/>
            <w:vAlign w:val="bottom"/>
            <w:hideMark/>
          </w:tcPr>
          <w:p w:rsidR="000A4FB5" w:rsidRPr="000A4FB5" w:rsidRDefault="000A4FB5" w:rsidP="000A4FB5">
            <w:pPr>
              <w:spacing w:after="0" w:line="240" w:lineRule="auto"/>
              <w:jc w:val="center"/>
              <w:rPr>
                <w:rFonts w:ascii="Calibri" w:eastAsia="Times New Roman" w:hAnsi="Calibri" w:cs="Times New Roman"/>
                <w:b/>
                <w:bCs/>
                <w:color w:val="000000"/>
                <w:sz w:val="20"/>
                <w:lang w:eastAsia="en-GB"/>
              </w:rPr>
            </w:pPr>
            <w:r w:rsidRPr="000A4FB5">
              <w:rPr>
                <w:rFonts w:ascii="Calibri" w:eastAsia="Times New Roman" w:hAnsi="Calibri" w:cs="Times New Roman"/>
                <w:b/>
                <w:bCs/>
                <w:color w:val="000000"/>
                <w:sz w:val="20"/>
                <w:lang w:eastAsia="en-GB"/>
              </w:rPr>
              <w:t>GHG WTW incl. BC</w:t>
            </w:r>
          </w:p>
        </w:tc>
      </w:tr>
      <w:tr w:rsidR="000A4FB5" w:rsidRPr="000A4FB5" w:rsidTr="000A4FB5">
        <w:trPr>
          <w:trHeight w:val="288"/>
        </w:trPr>
        <w:tc>
          <w:tcPr>
            <w:tcW w:w="2400" w:type="dxa"/>
            <w:tcBorders>
              <w:top w:val="nil"/>
              <w:left w:val="single" w:sz="8" w:space="0" w:color="auto"/>
              <w:bottom w:val="single" w:sz="4" w:space="0" w:color="auto"/>
              <w:right w:val="single" w:sz="4" w:space="0" w:color="auto"/>
            </w:tcBorders>
            <w:shd w:val="clear" w:color="auto" w:fill="auto"/>
            <w:noWrap/>
            <w:vAlign w:val="bottom"/>
            <w:hideMark/>
          </w:tcPr>
          <w:p w:rsidR="000A4FB5" w:rsidRPr="000A4FB5" w:rsidRDefault="000A4FB5" w:rsidP="000A4FB5">
            <w:pPr>
              <w:spacing w:after="0" w:line="240" w:lineRule="auto"/>
              <w:rPr>
                <w:rFonts w:ascii="Calibri" w:eastAsia="Times New Roman" w:hAnsi="Calibri" w:cs="Times New Roman"/>
                <w:color w:val="000000"/>
                <w:sz w:val="20"/>
                <w:lang w:eastAsia="en-GB"/>
              </w:rPr>
            </w:pPr>
            <w:r w:rsidRPr="000A4FB5">
              <w:rPr>
                <w:rFonts w:ascii="Calibri" w:eastAsia="Times New Roman" w:hAnsi="Calibri" w:cs="Times New Roman"/>
                <w:color w:val="000000"/>
                <w:sz w:val="20"/>
                <w:lang w:eastAsia="en-GB"/>
              </w:rPr>
              <w:t>Passenger cars</w:t>
            </w:r>
          </w:p>
        </w:tc>
        <w:tc>
          <w:tcPr>
            <w:tcW w:w="1540" w:type="dxa"/>
            <w:tcBorders>
              <w:top w:val="nil"/>
              <w:left w:val="nil"/>
              <w:bottom w:val="single" w:sz="4" w:space="0" w:color="auto"/>
              <w:right w:val="single" w:sz="4" w:space="0" w:color="auto"/>
            </w:tcBorders>
            <w:shd w:val="clear" w:color="auto" w:fill="auto"/>
            <w:noWrap/>
            <w:vAlign w:val="bottom"/>
            <w:hideMark/>
          </w:tcPr>
          <w:p w:rsidR="000A4FB5" w:rsidRPr="000A4FB5" w:rsidRDefault="000A4FB5" w:rsidP="000A4FB5">
            <w:pPr>
              <w:spacing w:after="0" w:line="240" w:lineRule="auto"/>
              <w:jc w:val="center"/>
              <w:rPr>
                <w:rFonts w:ascii="Calibri" w:eastAsia="Times New Roman" w:hAnsi="Calibri" w:cs="Times New Roman"/>
                <w:color w:val="000000"/>
                <w:sz w:val="20"/>
                <w:lang w:eastAsia="en-GB"/>
              </w:rPr>
            </w:pPr>
            <w:r w:rsidRPr="000A4FB5">
              <w:rPr>
                <w:rFonts w:ascii="Calibri" w:eastAsia="Times New Roman" w:hAnsi="Calibri" w:cs="Times New Roman"/>
                <w:color w:val="000000"/>
                <w:sz w:val="20"/>
                <w:lang w:eastAsia="en-GB"/>
              </w:rPr>
              <w:t>105</w:t>
            </w:r>
          </w:p>
        </w:tc>
        <w:tc>
          <w:tcPr>
            <w:tcW w:w="1160" w:type="dxa"/>
            <w:tcBorders>
              <w:top w:val="nil"/>
              <w:left w:val="nil"/>
              <w:bottom w:val="single" w:sz="4" w:space="0" w:color="auto"/>
              <w:right w:val="single" w:sz="4" w:space="0" w:color="auto"/>
            </w:tcBorders>
            <w:shd w:val="clear" w:color="auto" w:fill="auto"/>
            <w:noWrap/>
            <w:vAlign w:val="bottom"/>
            <w:hideMark/>
          </w:tcPr>
          <w:p w:rsidR="000A4FB5" w:rsidRPr="000A4FB5" w:rsidRDefault="000A4FB5" w:rsidP="000A4FB5">
            <w:pPr>
              <w:spacing w:after="0" w:line="240" w:lineRule="auto"/>
              <w:jc w:val="center"/>
              <w:rPr>
                <w:rFonts w:ascii="Calibri" w:eastAsia="Times New Roman" w:hAnsi="Calibri" w:cs="Times New Roman"/>
                <w:color w:val="000000"/>
                <w:sz w:val="20"/>
                <w:lang w:eastAsia="en-GB"/>
              </w:rPr>
            </w:pPr>
            <w:r w:rsidRPr="000A4FB5">
              <w:rPr>
                <w:rFonts w:ascii="Calibri" w:eastAsia="Times New Roman" w:hAnsi="Calibri" w:cs="Times New Roman"/>
                <w:color w:val="000000"/>
                <w:sz w:val="20"/>
                <w:lang w:eastAsia="en-GB"/>
              </w:rPr>
              <w:t>132</w:t>
            </w:r>
          </w:p>
        </w:tc>
        <w:tc>
          <w:tcPr>
            <w:tcW w:w="1000" w:type="dxa"/>
            <w:tcBorders>
              <w:top w:val="nil"/>
              <w:left w:val="nil"/>
              <w:bottom w:val="single" w:sz="4" w:space="0" w:color="auto"/>
              <w:right w:val="single" w:sz="4" w:space="0" w:color="auto"/>
            </w:tcBorders>
            <w:shd w:val="clear" w:color="auto" w:fill="auto"/>
            <w:noWrap/>
            <w:vAlign w:val="bottom"/>
            <w:hideMark/>
          </w:tcPr>
          <w:p w:rsidR="000A4FB5" w:rsidRPr="000A4FB5" w:rsidRDefault="000A4FB5" w:rsidP="000A4FB5">
            <w:pPr>
              <w:spacing w:after="0" w:line="240" w:lineRule="auto"/>
              <w:jc w:val="center"/>
              <w:rPr>
                <w:rFonts w:ascii="Calibri" w:eastAsia="Times New Roman" w:hAnsi="Calibri" w:cs="Times New Roman"/>
                <w:color w:val="000000"/>
                <w:sz w:val="20"/>
                <w:lang w:eastAsia="en-GB"/>
              </w:rPr>
            </w:pPr>
            <w:r w:rsidRPr="000A4FB5">
              <w:rPr>
                <w:rFonts w:ascii="Calibri" w:eastAsia="Times New Roman" w:hAnsi="Calibri" w:cs="Times New Roman"/>
                <w:color w:val="000000"/>
                <w:sz w:val="20"/>
                <w:lang w:eastAsia="en-GB"/>
              </w:rPr>
              <w:t>0</w:t>
            </w:r>
          </w:p>
        </w:tc>
        <w:tc>
          <w:tcPr>
            <w:tcW w:w="1828" w:type="dxa"/>
            <w:tcBorders>
              <w:top w:val="nil"/>
              <w:left w:val="nil"/>
              <w:bottom w:val="single" w:sz="4" w:space="0" w:color="auto"/>
              <w:right w:val="single" w:sz="8" w:space="0" w:color="auto"/>
            </w:tcBorders>
            <w:shd w:val="clear" w:color="auto" w:fill="auto"/>
            <w:noWrap/>
            <w:vAlign w:val="bottom"/>
            <w:hideMark/>
          </w:tcPr>
          <w:p w:rsidR="000A4FB5" w:rsidRPr="000A4FB5" w:rsidRDefault="000A4FB5" w:rsidP="000A4FB5">
            <w:pPr>
              <w:spacing w:after="0" w:line="240" w:lineRule="auto"/>
              <w:jc w:val="center"/>
              <w:rPr>
                <w:rFonts w:ascii="Calibri" w:eastAsia="Times New Roman" w:hAnsi="Calibri" w:cs="Times New Roman"/>
                <w:color w:val="000000"/>
                <w:sz w:val="20"/>
                <w:lang w:eastAsia="en-GB"/>
              </w:rPr>
            </w:pPr>
            <w:r w:rsidRPr="000A4FB5">
              <w:rPr>
                <w:rFonts w:ascii="Calibri" w:eastAsia="Times New Roman" w:hAnsi="Calibri" w:cs="Times New Roman"/>
                <w:color w:val="000000"/>
                <w:sz w:val="20"/>
                <w:lang w:eastAsia="en-GB"/>
              </w:rPr>
              <w:t>132</w:t>
            </w:r>
          </w:p>
        </w:tc>
      </w:tr>
      <w:tr w:rsidR="000A4FB5" w:rsidRPr="000A4FB5" w:rsidTr="000A4FB5">
        <w:trPr>
          <w:trHeight w:val="288"/>
        </w:trPr>
        <w:tc>
          <w:tcPr>
            <w:tcW w:w="2400" w:type="dxa"/>
            <w:tcBorders>
              <w:top w:val="nil"/>
              <w:left w:val="single" w:sz="8" w:space="0" w:color="auto"/>
              <w:bottom w:val="single" w:sz="4" w:space="0" w:color="auto"/>
              <w:right w:val="single" w:sz="4" w:space="0" w:color="auto"/>
            </w:tcBorders>
            <w:shd w:val="clear" w:color="auto" w:fill="auto"/>
            <w:noWrap/>
            <w:vAlign w:val="bottom"/>
            <w:hideMark/>
          </w:tcPr>
          <w:p w:rsidR="000A4FB5" w:rsidRPr="000A4FB5" w:rsidRDefault="000A4FB5" w:rsidP="000A4FB5">
            <w:pPr>
              <w:spacing w:after="0" w:line="240" w:lineRule="auto"/>
              <w:rPr>
                <w:rFonts w:ascii="Calibri" w:eastAsia="Times New Roman" w:hAnsi="Calibri" w:cs="Times New Roman"/>
                <w:color w:val="000000"/>
                <w:sz w:val="20"/>
                <w:lang w:eastAsia="en-GB"/>
              </w:rPr>
            </w:pPr>
            <w:r w:rsidRPr="000A4FB5">
              <w:rPr>
                <w:rFonts w:ascii="Calibri" w:eastAsia="Times New Roman" w:hAnsi="Calibri" w:cs="Times New Roman"/>
                <w:color w:val="000000"/>
                <w:sz w:val="20"/>
                <w:lang w:eastAsia="en-GB"/>
              </w:rPr>
              <w:t>Coach</w:t>
            </w:r>
          </w:p>
        </w:tc>
        <w:tc>
          <w:tcPr>
            <w:tcW w:w="1540" w:type="dxa"/>
            <w:tcBorders>
              <w:top w:val="nil"/>
              <w:left w:val="nil"/>
              <w:bottom w:val="single" w:sz="4" w:space="0" w:color="auto"/>
              <w:right w:val="single" w:sz="4" w:space="0" w:color="auto"/>
            </w:tcBorders>
            <w:shd w:val="clear" w:color="auto" w:fill="auto"/>
            <w:noWrap/>
            <w:vAlign w:val="bottom"/>
            <w:hideMark/>
          </w:tcPr>
          <w:p w:rsidR="000A4FB5" w:rsidRPr="000A4FB5" w:rsidRDefault="000A4FB5" w:rsidP="000A4FB5">
            <w:pPr>
              <w:spacing w:after="0" w:line="240" w:lineRule="auto"/>
              <w:jc w:val="center"/>
              <w:rPr>
                <w:rFonts w:ascii="Calibri" w:eastAsia="Times New Roman" w:hAnsi="Calibri" w:cs="Times New Roman"/>
                <w:color w:val="000000"/>
                <w:sz w:val="20"/>
                <w:lang w:eastAsia="en-GB"/>
              </w:rPr>
            </w:pPr>
            <w:r w:rsidRPr="000A4FB5">
              <w:rPr>
                <w:rFonts w:ascii="Calibri" w:eastAsia="Times New Roman" w:hAnsi="Calibri" w:cs="Times New Roman"/>
                <w:color w:val="000000"/>
                <w:sz w:val="20"/>
                <w:lang w:eastAsia="en-GB"/>
              </w:rPr>
              <w:t>36</w:t>
            </w:r>
          </w:p>
        </w:tc>
        <w:tc>
          <w:tcPr>
            <w:tcW w:w="1160" w:type="dxa"/>
            <w:tcBorders>
              <w:top w:val="nil"/>
              <w:left w:val="nil"/>
              <w:bottom w:val="single" w:sz="4" w:space="0" w:color="auto"/>
              <w:right w:val="single" w:sz="4" w:space="0" w:color="auto"/>
            </w:tcBorders>
            <w:shd w:val="clear" w:color="auto" w:fill="auto"/>
            <w:noWrap/>
            <w:vAlign w:val="bottom"/>
            <w:hideMark/>
          </w:tcPr>
          <w:p w:rsidR="000A4FB5" w:rsidRPr="000A4FB5" w:rsidRDefault="000A4FB5" w:rsidP="000A4FB5">
            <w:pPr>
              <w:spacing w:after="0" w:line="240" w:lineRule="auto"/>
              <w:jc w:val="center"/>
              <w:rPr>
                <w:rFonts w:ascii="Calibri" w:eastAsia="Times New Roman" w:hAnsi="Calibri" w:cs="Times New Roman"/>
                <w:color w:val="000000"/>
                <w:sz w:val="20"/>
                <w:lang w:eastAsia="en-GB"/>
              </w:rPr>
            </w:pPr>
            <w:r w:rsidRPr="000A4FB5">
              <w:rPr>
                <w:rFonts w:ascii="Calibri" w:eastAsia="Times New Roman" w:hAnsi="Calibri" w:cs="Times New Roman"/>
                <w:color w:val="000000"/>
                <w:sz w:val="20"/>
                <w:lang w:eastAsia="en-GB"/>
              </w:rPr>
              <w:t>45</w:t>
            </w:r>
          </w:p>
        </w:tc>
        <w:tc>
          <w:tcPr>
            <w:tcW w:w="1000" w:type="dxa"/>
            <w:tcBorders>
              <w:top w:val="nil"/>
              <w:left w:val="nil"/>
              <w:bottom w:val="single" w:sz="4" w:space="0" w:color="auto"/>
              <w:right w:val="single" w:sz="4" w:space="0" w:color="auto"/>
            </w:tcBorders>
            <w:shd w:val="clear" w:color="auto" w:fill="auto"/>
            <w:noWrap/>
            <w:vAlign w:val="bottom"/>
            <w:hideMark/>
          </w:tcPr>
          <w:p w:rsidR="000A4FB5" w:rsidRPr="000A4FB5" w:rsidRDefault="000A4FB5" w:rsidP="000A4FB5">
            <w:pPr>
              <w:spacing w:after="0" w:line="240" w:lineRule="auto"/>
              <w:jc w:val="center"/>
              <w:rPr>
                <w:rFonts w:ascii="Calibri" w:eastAsia="Times New Roman" w:hAnsi="Calibri" w:cs="Times New Roman"/>
                <w:color w:val="000000"/>
                <w:sz w:val="20"/>
                <w:lang w:eastAsia="en-GB"/>
              </w:rPr>
            </w:pPr>
            <w:r w:rsidRPr="000A4FB5">
              <w:rPr>
                <w:rFonts w:ascii="Calibri" w:eastAsia="Times New Roman" w:hAnsi="Calibri" w:cs="Times New Roman"/>
                <w:color w:val="000000"/>
                <w:sz w:val="20"/>
                <w:lang w:eastAsia="en-GB"/>
              </w:rPr>
              <w:t>7</w:t>
            </w:r>
          </w:p>
        </w:tc>
        <w:tc>
          <w:tcPr>
            <w:tcW w:w="1828" w:type="dxa"/>
            <w:tcBorders>
              <w:top w:val="nil"/>
              <w:left w:val="nil"/>
              <w:bottom w:val="single" w:sz="4" w:space="0" w:color="auto"/>
              <w:right w:val="single" w:sz="8" w:space="0" w:color="auto"/>
            </w:tcBorders>
            <w:shd w:val="clear" w:color="auto" w:fill="auto"/>
            <w:noWrap/>
            <w:vAlign w:val="bottom"/>
            <w:hideMark/>
          </w:tcPr>
          <w:p w:rsidR="000A4FB5" w:rsidRPr="000A4FB5" w:rsidRDefault="000A4FB5" w:rsidP="000A4FB5">
            <w:pPr>
              <w:spacing w:after="0" w:line="240" w:lineRule="auto"/>
              <w:jc w:val="center"/>
              <w:rPr>
                <w:rFonts w:ascii="Calibri" w:eastAsia="Times New Roman" w:hAnsi="Calibri" w:cs="Times New Roman"/>
                <w:color w:val="000000"/>
                <w:sz w:val="20"/>
                <w:lang w:eastAsia="en-GB"/>
              </w:rPr>
            </w:pPr>
            <w:r w:rsidRPr="000A4FB5">
              <w:rPr>
                <w:rFonts w:ascii="Calibri" w:eastAsia="Times New Roman" w:hAnsi="Calibri" w:cs="Times New Roman"/>
                <w:color w:val="000000"/>
                <w:sz w:val="20"/>
                <w:lang w:eastAsia="en-GB"/>
              </w:rPr>
              <w:t>52</w:t>
            </w:r>
          </w:p>
        </w:tc>
      </w:tr>
      <w:tr w:rsidR="000A4FB5" w:rsidRPr="000A4FB5" w:rsidTr="000A4FB5">
        <w:trPr>
          <w:trHeight w:val="294"/>
        </w:trPr>
        <w:tc>
          <w:tcPr>
            <w:tcW w:w="2400" w:type="dxa"/>
            <w:tcBorders>
              <w:top w:val="nil"/>
              <w:left w:val="single" w:sz="8" w:space="0" w:color="auto"/>
              <w:bottom w:val="single" w:sz="8" w:space="0" w:color="auto"/>
              <w:right w:val="single" w:sz="4" w:space="0" w:color="auto"/>
            </w:tcBorders>
            <w:shd w:val="clear" w:color="auto" w:fill="auto"/>
            <w:noWrap/>
            <w:vAlign w:val="bottom"/>
            <w:hideMark/>
          </w:tcPr>
          <w:p w:rsidR="000A4FB5" w:rsidRPr="000A4FB5" w:rsidRDefault="000A4FB5" w:rsidP="000A4FB5">
            <w:pPr>
              <w:spacing w:after="0" w:line="240" w:lineRule="auto"/>
              <w:rPr>
                <w:rFonts w:ascii="Calibri" w:eastAsia="Times New Roman" w:hAnsi="Calibri" w:cs="Times New Roman"/>
                <w:color w:val="000000"/>
                <w:sz w:val="20"/>
                <w:lang w:eastAsia="en-GB"/>
              </w:rPr>
            </w:pPr>
            <w:r w:rsidRPr="000A4FB5">
              <w:rPr>
                <w:rFonts w:ascii="Calibri" w:eastAsia="Times New Roman" w:hAnsi="Calibri" w:cs="Times New Roman"/>
                <w:color w:val="000000"/>
                <w:sz w:val="20"/>
                <w:lang w:eastAsia="en-GB"/>
              </w:rPr>
              <w:t>Train passenger</w:t>
            </w:r>
          </w:p>
        </w:tc>
        <w:tc>
          <w:tcPr>
            <w:tcW w:w="1540" w:type="dxa"/>
            <w:tcBorders>
              <w:top w:val="nil"/>
              <w:left w:val="nil"/>
              <w:bottom w:val="single" w:sz="8" w:space="0" w:color="auto"/>
              <w:right w:val="single" w:sz="4" w:space="0" w:color="auto"/>
            </w:tcBorders>
            <w:shd w:val="clear" w:color="auto" w:fill="auto"/>
            <w:noWrap/>
            <w:vAlign w:val="bottom"/>
            <w:hideMark/>
          </w:tcPr>
          <w:p w:rsidR="000A4FB5" w:rsidRPr="000A4FB5" w:rsidRDefault="000A4FB5" w:rsidP="000A4FB5">
            <w:pPr>
              <w:spacing w:after="0" w:line="240" w:lineRule="auto"/>
              <w:jc w:val="center"/>
              <w:rPr>
                <w:rFonts w:ascii="Calibri" w:eastAsia="Times New Roman" w:hAnsi="Calibri" w:cs="Times New Roman"/>
                <w:color w:val="000000"/>
                <w:sz w:val="20"/>
                <w:lang w:eastAsia="en-GB"/>
              </w:rPr>
            </w:pPr>
            <w:r w:rsidRPr="000A4FB5">
              <w:rPr>
                <w:rFonts w:ascii="Calibri" w:eastAsia="Times New Roman" w:hAnsi="Calibri" w:cs="Times New Roman"/>
                <w:color w:val="000000"/>
                <w:sz w:val="20"/>
                <w:lang w:eastAsia="en-GB"/>
              </w:rPr>
              <w:t>12</w:t>
            </w:r>
          </w:p>
        </w:tc>
        <w:tc>
          <w:tcPr>
            <w:tcW w:w="1160" w:type="dxa"/>
            <w:tcBorders>
              <w:top w:val="nil"/>
              <w:left w:val="nil"/>
              <w:bottom w:val="single" w:sz="8" w:space="0" w:color="auto"/>
              <w:right w:val="single" w:sz="4" w:space="0" w:color="auto"/>
            </w:tcBorders>
            <w:shd w:val="clear" w:color="auto" w:fill="auto"/>
            <w:noWrap/>
            <w:vAlign w:val="bottom"/>
            <w:hideMark/>
          </w:tcPr>
          <w:p w:rsidR="000A4FB5" w:rsidRPr="000A4FB5" w:rsidRDefault="000A4FB5" w:rsidP="000A4FB5">
            <w:pPr>
              <w:spacing w:after="0" w:line="240" w:lineRule="auto"/>
              <w:jc w:val="center"/>
              <w:rPr>
                <w:rFonts w:ascii="Calibri" w:eastAsia="Times New Roman" w:hAnsi="Calibri" w:cs="Times New Roman"/>
                <w:color w:val="000000"/>
                <w:sz w:val="20"/>
                <w:lang w:eastAsia="en-GB"/>
              </w:rPr>
            </w:pPr>
            <w:r w:rsidRPr="000A4FB5">
              <w:rPr>
                <w:rFonts w:ascii="Calibri" w:eastAsia="Times New Roman" w:hAnsi="Calibri" w:cs="Times New Roman"/>
                <w:color w:val="000000"/>
                <w:sz w:val="20"/>
                <w:lang w:eastAsia="en-GB"/>
              </w:rPr>
              <w:t>16</w:t>
            </w:r>
          </w:p>
        </w:tc>
        <w:tc>
          <w:tcPr>
            <w:tcW w:w="1000" w:type="dxa"/>
            <w:tcBorders>
              <w:top w:val="nil"/>
              <w:left w:val="nil"/>
              <w:bottom w:val="single" w:sz="8" w:space="0" w:color="auto"/>
              <w:right w:val="single" w:sz="4" w:space="0" w:color="auto"/>
            </w:tcBorders>
            <w:shd w:val="clear" w:color="auto" w:fill="auto"/>
            <w:noWrap/>
            <w:vAlign w:val="bottom"/>
            <w:hideMark/>
          </w:tcPr>
          <w:p w:rsidR="000A4FB5" w:rsidRPr="000A4FB5" w:rsidRDefault="000A4FB5" w:rsidP="000A4FB5">
            <w:pPr>
              <w:spacing w:after="0" w:line="240" w:lineRule="auto"/>
              <w:jc w:val="center"/>
              <w:rPr>
                <w:rFonts w:ascii="Calibri" w:eastAsia="Times New Roman" w:hAnsi="Calibri" w:cs="Times New Roman"/>
                <w:color w:val="000000"/>
                <w:sz w:val="20"/>
                <w:lang w:eastAsia="en-GB"/>
              </w:rPr>
            </w:pPr>
            <w:r w:rsidRPr="000A4FB5">
              <w:rPr>
                <w:rFonts w:ascii="Calibri" w:eastAsia="Times New Roman" w:hAnsi="Calibri" w:cs="Times New Roman"/>
                <w:color w:val="000000"/>
                <w:sz w:val="20"/>
                <w:lang w:eastAsia="en-GB"/>
              </w:rPr>
              <w:t>0</w:t>
            </w:r>
          </w:p>
        </w:tc>
        <w:tc>
          <w:tcPr>
            <w:tcW w:w="1828" w:type="dxa"/>
            <w:tcBorders>
              <w:top w:val="nil"/>
              <w:left w:val="nil"/>
              <w:bottom w:val="single" w:sz="8" w:space="0" w:color="auto"/>
              <w:right w:val="single" w:sz="8" w:space="0" w:color="auto"/>
            </w:tcBorders>
            <w:shd w:val="clear" w:color="auto" w:fill="auto"/>
            <w:noWrap/>
            <w:vAlign w:val="bottom"/>
            <w:hideMark/>
          </w:tcPr>
          <w:p w:rsidR="000A4FB5" w:rsidRPr="000A4FB5" w:rsidRDefault="000A4FB5" w:rsidP="000A4FB5">
            <w:pPr>
              <w:spacing w:after="0" w:line="240" w:lineRule="auto"/>
              <w:jc w:val="center"/>
              <w:rPr>
                <w:rFonts w:ascii="Calibri" w:eastAsia="Times New Roman" w:hAnsi="Calibri" w:cs="Times New Roman"/>
                <w:color w:val="000000"/>
                <w:sz w:val="20"/>
                <w:lang w:eastAsia="en-GB"/>
              </w:rPr>
            </w:pPr>
            <w:r w:rsidRPr="000A4FB5">
              <w:rPr>
                <w:rFonts w:ascii="Calibri" w:eastAsia="Times New Roman" w:hAnsi="Calibri" w:cs="Times New Roman"/>
                <w:color w:val="000000"/>
                <w:sz w:val="20"/>
                <w:lang w:eastAsia="en-GB"/>
              </w:rPr>
              <w:t>16</w:t>
            </w:r>
          </w:p>
        </w:tc>
      </w:tr>
    </w:tbl>
    <w:p w:rsidR="000A4FB5" w:rsidRDefault="000A4FB5" w:rsidP="000A4FB5"/>
    <w:p w:rsidR="000A4FB5" w:rsidRDefault="000A4FB5" w:rsidP="000A4FB5">
      <w:pPr>
        <w:pStyle w:val="Heading2"/>
      </w:pPr>
      <w:bookmarkStart w:id="41" w:name="_Toc466207367"/>
      <w:r>
        <w:t>A</w:t>
      </w:r>
      <w:r w:rsidR="004317A6">
        <w:t>1.</w:t>
      </w:r>
      <w:r>
        <w:t>4: Emission Factor per Mode Freight</w:t>
      </w:r>
      <w:bookmarkEnd w:id="41"/>
    </w:p>
    <w:tbl>
      <w:tblPr>
        <w:tblW w:w="7928" w:type="dxa"/>
        <w:tblLook w:val="04A0" w:firstRow="1" w:lastRow="0" w:firstColumn="1" w:lastColumn="0" w:noHBand="0" w:noVBand="1"/>
      </w:tblPr>
      <w:tblGrid>
        <w:gridCol w:w="2400"/>
        <w:gridCol w:w="1540"/>
        <w:gridCol w:w="1160"/>
        <w:gridCol w:w="1000"/>
        <w:gridCol w:w="1828"/>
      </w:tblGrid>
      <w:tr w:rsidR="000A4FB5" w:rsidRPr="000A4FB5" w:rsidTr="000A4FB5">
        <w:trPr>
          <w:trHeight w:val="251"/>
        </w:trPr>
        <w:tc>
          <w:tcPr>
            <w:tcW w:w="2400" w:type="dxa"/>
            <w:tcBorders>
              <w:top w:val="single" w:sz="8" w:space="0" w:color="auto"/>
              <w:left w:val="single" w:sz="8" w:space="0" w:color="auto"/>
              <w:bottom w:val="single" w:sz="4" w:space="0" w:color="auto"/>
              <w:right w:val="single" w:sz="4" w:space="0" w:color="auto"/>
            </w:tcBorders>
            <w:shd w:val="clear" w:color="000000" w:fill="DDEBF7"/>
            <w:noWrap/>
            <w:vAlign w:val="bottom"/>
            <w:hideMark/>
          </w:tcPr>
          <w:p w:rsidR="000A4FB5" w:rsidRPr="000A4FB5" w:rsidRDefault="000A4FB5" w:rsidP="000A4FB5">
            <w:pPr>
              <w:spacing w:after="0" w:line="240" w:lineRule="auto"/>
              <w:rPr>
                <w:rFonts w:ascii="Calibri" w:eastAsia="Times New Roman" w:hAnsi="Calibri" w:cs="Times New Roman"/>
                <w:b/>
                <w:bCs/>
                <w:color w:val="000000"/>
                <w:sz w:val="20"/>
                <w:lang w:eastAsia="en-GB"/>
              </w:rPr>
            </w:pPr>
            <w:r w:rsidRPr="000A4FB5">
              <w:rPr>
                <w:rFonts w:ascii="Calibri" w:eastAsia="Times New Roman" w:hAnsi="Calibri" w:cs="Times New Roman"/>
                <w:b/>
                <w:bCs/>
                <w:color w:val="000000"/>
                <w:sz w:val="20"/>
                <w:lang w:eastAsia="en-GB"/>
              </w:rPr>
              <w:t>Mode</w:t>
            </w:r>
          </w:p>
        </w:tc>
        <w:tc>
          <w:tcPr>
            <w:tcW w:w="1540" w:type="dxa"/>
            <w:tcBorders>
              <w:top w:val="single" w:sz="8" w:space="0" w:color="auto"/>
              <w:left w:val="nil"/>
              <w:bottom w:val="single" w:sz="4" w:space="0" w:color="auto"/>
              <w:right w:val="single" w:sz="4" w:space="0" w:color="auto"/>
            </w:tcBorders>
            <w:shd w:val="clear" w:color="000000" w:fill="DDEBF7"/>
            <w:noWrap/>
            <w:vAlign w:val="bottom"/>
            <w:hideMark/>
          </w:tcPr>
          <w:p w:rsidR="000A4FB5" w:rsidRPr="000A4FB5" w:rsidRDefault="000A4FB5" w:rsidP="000A4FB5">
            <w:pPr>
              <w:spacing w:after="0" w:line="240" w:lineRule="auto"/>
              <w:jc w:val="center"/>
              <w:rPr>
                <w:rFonts w:ascii="Calibri" w:eastAsia="Times New Roman" w:hAnsi="Calibri" w:cs="Times New Roman"/>
                <w:b/>
                <w:bCs/>
                <w:color w:val="000000"/>
                <w:sz w:val="20"/>
                <w:lang w:eastAsia="en-GB"/>
              </w:rPr>
            </w:pPr>
            <w:r w:rsidRPr="000A4FB5">
              <w:rPr>
                <w:rFonts w:ascii="Calibri" w:eastAsia="Times New Roman" w:hAnsi="Calibri" w:cs="Times New Roman"/>
                <w:b/>
                <w:bCs/>
                <w:color w:val="000000"/>
                <w:sz w:val="20"/>
                <w:lang w:eastAsia="en-GB"/>
              </w:rPr>
              <w:t>GHG TTW</w:t>
            </w:r>
          </w:p>
        </w:tc>
        <w:tc>
          <w:tcPr>
            <w:tcW w:w="1160" w:type="dxa"/>
            <w:tcBorders>
              <w:top w:val="single" w:sz="8" w:space="0" w:color="auto"/>
              <w:left w:val="nil"/>
              <w:bottom w:val="single" w:sz="4" w:space="0" w:color="auto"/>
              <w:right w:val="single" w:sz="4" w:space="0" w:color="auto"/>
            </w:tcBorders>
            <w:shd w:val="clear" w:color="000000" w:fill="DDEBF7"/>
            <w:noWrap/>
            <w:vAlign w:val="bottom"/>
            <w:hideMark/>
          </w:tcPr>
          <w:p w:rsidR="000A4FB5" w:rsidRPr="000A4FB5" w:rsidRDefault="000A4FB5" w:rsidP="000A4FB5">
            <w:pPr>
              <w:spacing w:after="0" w:line="240" w:lineRule="auto"/>
              <w:jc w:val="center"/>
              <w:rPr>
                <w:rFonts w:ascii="Calibri" w:eastAsia="Times New Roman" w:hAnsi="Calibri" w:cs="Times New Roman"/>
                <w:b/>
                <w:bCs/>
                <w:color w:val="000000"/>
                <w:sz w:val="20"/>
                <w:lang w:eastAsia="en-GB"/>
              </w:rPr>
            </w:pPr>
            <w:r w:rsidRPr="000A4FB5">
              <w:rPr>
                <w:rFonts w:ascii="Calibri" w:eastAsia="Times New Roman" w:hAnsi="Calibri" w:cs="Times New Roman"/>
                <w:b/>
                <w:bCs/>
                <w:color w:val="000000"/>
                <w:sz w:val="20"/>
                <w:lang w:eastAsia="en-GB"/>
              </w:rPr>
              <w:t>GHG WTW</w:t>
            </w:r>
          </w:p>
        </w:tc>
        <w:tc>
          <w:tcPr>
            <w:tcW w:w="1000" w:type="dxa"/>
            <w:tcBorders>
              <w:top w:val="single" w:sz="8" w:space="0" w:color="auto"/>
              <w:left w:val="nil"/>
              <w:bottom w:val="single" w:sz="4" w:space="0" w:color="auto"/>
              <w:right w:val="single" w:sz="4" w:space="0" w:color="auto"/>
            </w:tcBorders>
            <w:shd w:val="clear" w:color="000000" w:fill="DDEBF7"/>
            <w:noWrap/>
            <w:vAlign w:val="bottom"/>
            <w:hideMark/>
          </w:tcPr>
          <w:p w:rsidR="000A4FB5" w:rsidRPr="000A4FB5" w:rsidRDefault="000A4FB5" w:rsidP="000A4FB5">
            <w:pPr>
              <w:spacing w:after="0" w:line="240" w:lineRule="auto"/>
              <w:jc w:val="center"/>
              <w:rPr>
                <w:rFonts w:ascii="Calibri" w:eastAsia="Times New Roman" w:hAnsi="Calibri" w:cs="Times New Roman"/>
                <w:b/>
                <w:bCs/>
                <w:color w:val="000000"/>
                <w:sz w:val="20"/>
                <w:lang w:eastAsia="en-GB"/>
              </w:rPr>
            </w:pPr>
            <w:r w:rsidRPr="000A4FB5">
              <w:rPr>
                <w:rFonts w:ascii="Calibri" w:eastAsia="Times New Roman" w:hAnsi="Calibri" w:cs="Times New Roman"/>
                <w:b/>
                <w:bCs/>
                <w:color w:val="000000"/>
                <w:sz w:val="20"/>
                <w:lang w:eastAsia="en-GB"/>
              </w:rPr>
              <w:t>BC</w:t>
            </w:r>
          </w:p>
        </w:tc>
        <w:tc>
          <w:tcPr>
            <w:tcW w:w="1828" w:type="dxa"/>
            <w:tcBorders>
              <w:top w:val="single" w:sz="8" w:space="0" w:color="auto"/>
              <w:left w:val="nil"/>
              <w:bottom w:val="single" w:sz="4" w:space="0" w:color="auto"/>
              <w:right w:val="single" w:sz="8" w:space="0" w:color="auto"/>
            </w:tcBorders>
            <w:shd w:val="clear" w:color="000000" w:fill="DDEBF7"/>
            <w:vAlign w:val="bottom"/>
            <w:hideMark/>
          </w:tcPr>
          <w:p w:rsidR="000A4FB5" w:rsidRPr="000A4FB5" w:rsidRDefault="000A4FB5" w:rsidP="000A4FB5">
            <w:pPr>
              <w:spacing w:after="0" w:line="240" w:lineRule="auto"/>
              <w:jc w:val="center"/>
              <w:rPr>
                <w:rFonts w:ascii="Calibri" w:eastAsia="Times New Roman" w:hAnsi="Calibri" w:cs="Times New Roman"/>
                <w:b/>
                <w:bCs/>
                <w:color w:val="000000"/>
                <w:sz w:val="20"/>
                <w:lang w:eastAsia="en-GB"/>
              </w:rPr>
            </w:pPr>
            <w:r w:rsidRPr="000A4FB5">
              <w:rPr>
                <w:rFonts w:ascii="Calibri" w:eastAsia="Times New Roman" w:hAnsi="Calibri" w:cs="Times New Roman"/>
                <w:b/>
                <w:bCs/>
                <w:color w:val="000000"/>
                <w:sz w:val="20"/>
                <w:lang w:eastAsia="en-GB"/>
              </w:rPr>
              <w:t>GHG WTW incl. BC</w:t>
            </w:r>
          </w:p>
        </w:tc>
      </w:tr>
      <w:tr w:rsidR="000A4FB5" w:rsidRPr="000A4FB5" w:rsidTr="000A4FB5">
        <w:trPr>
          <w:trHeight w:val="288"/>
        </w:trPr>
        <w:tc>
          <w:tcPr>
            <w:tcW w:w="2400" w:type="dxa"/>
            <w:tcBorders>
              <w:top w:val="nil"/>
              <w:left w:val="single" w:sz="8" w:space="0" w:color="auto"/>
              <w:bottom w:val="single" w:sz="4" w:space="0" w:color="auto"/>
              <w:right w:val="single" w:sz="4" w:space="0" w:color="auto"/>
            </w:tcBorders>
            <w:shd w:val="clear" w:color="auto" w:fill="auto"/>
            <w:noWrap/>
            <w:vAlign w:val="bottom"/>
            <w:hideMark/>
          </w:tcPr>
          <w:p w:rsidR="000A4FB5" w:rsidRPr="000A4FB5" w:rsidRDefault="000A4FB5" w:rsidP="000A4FB5">
            <w:pPr>
              <w:spacing w:after="0" w:line="240" w:lineRule="auto"/>
              <w:rPr>
                <w:rFonts w:ascii="Calibri" w:eastAsia="Times New Roman" w:hAnsi="Calibri" w:cs="Times New Roman"/>
                <w:color w:val="000000"/>
                <w:sz w:val="20"/>
                <w:lang w:eastAsia="en-GB"/>
              </w:rPr>
            </w:pPr>
            <w:r w:rsidRPr="000A4FB5">
              <w:rPr>
                <w:rFonts w:ascii="Calibri" w:eastAsia="Times New Roman" w:hAnsi="Calibri" w:cs="Times New Roman"/>
                <w:color w:val="000000"/>
                <w:sz w:val="20"/>
                <w:lang w:eastAsia="en-GB"/>
              </w:rPr>
              <w:t>Truck</w:t>
            </w:r>
          </w:p>
        </w:tc>
        <w:tc>
          <w:tcPr>
            <w:tcW w:w="1540" w:type="dxa"/>
            <w:tcBorders>
              <w:top w:val="nil"/>
              <w:left w:val="nil"/>
              <w:bottom w:val="single" w:sz="4" w:space="0" w:color="auto"/>
              <w:right w:val="single" w:sz="4" w:space="0" w:color="auto"/>
            </w:tcBorders>
            <w:shd w:val="clear" w:color="auto" w:fill="auto"/>
            <w:noWrap/>
            <w:vAlign w:val="bottom"/>
            <w:hideMark/>
          </w:tcPr>
          <w:p w:rsidR="000A4FB5" w:rsidRPr="000A4FB5" w:rsidRDefault="000A4FB5" w:rsidP="000A4FB5">
            <w:pPr>
              <w:spacing w:after="0" w:line="240" w:lineRule="auto"/>
              <w:jc w:val="center"/>
              <w:rPr>
                <w:rFonts w:ascii="Calibri" w:eastAsia="Times New Roman" w:hAnsi="Calibri" w:cs="Times New Roman"/>
                <w:color w:val="000000"/>
                <w:sz w:val="20"/>
                <w:lang w:eastAsia="en-GB"/>
              </w:rPr>
            </w:pPr>
            <w:r w:rsidRPr="000A4FB5">
              <w:rPr>
                <w:rFonts w:ascii="Calibri" w:eastAsia="Times New Roman" w:hAnsi="Calibri" w:cs="Times New Roman"/>
                <w:color w:val="000000"/>
                <w:sz w:val="20"/>
                <w:lang w:eastAsia="en-GB"/>
              </w:rPr>
              <w:t>110</w:t>
            </w:r>
          </w:p>
        </w:tc>
        <w:tc>
          <w:tcPr>
            <w:tcW w:w="1160" w:type="dxa"/>
            <w:tcBorders>
              <w:top w:val="nil"/>
              <w:left w:val="nil"/>
              <w:bottom w:val="single" w:sz="4" w:space="0" w:color="auto"/>
              <w:right w:val="single" w:sz="4" w:space="0" w:color="auto"/>
            </w:tcBorders>
            <w:shd w:val="clear" w:color="auto" w:fill="auto"/>
            <w:noWrap/>
            <w:vAlign w:val="bottom"/>
            <w:hideMark/>
          </w:tcPr>
          <w:p w:rsidR="000A4FB5" w:rsidRPr="000A4FB5" w:rsidRDefault="000A4FB5" w:rsidP="000A4FB5">
            <w:pPr>
              <w:spacing w:after="0" w:line="240" w:lineRule="auto"/>
              <w:jc w:val="center"/>
              <w:rPr>
                <w:rFonts w:ascii="Calibri" w:eastAsia="Times New Roman" w:hAnsi="Calibri" w:cs="Times New Roman"/>
                <w:color w:val="000000"/>
                <w:sz w:val="20"/>
                <w:lang w:eastAsia="en-GB"/>
              </w:rPr>
            </w:pPr>
            <w:r w:rsidRPr="000A4FB5">
              <w:rPr>
                <w:rFonts w:ascii="Calibri" w:eastAsia="Times New Roman" w:hAnsi="Calibri" w:cs="Times New Roman"/>
                <w:color w:val="000000"/>
                <w:sz w:val="20"/>
                <w:lang w:eastAsia="en-GB"/>
              </w:rPr>
              <w:t>138</w:t>
            </w:r>
          </w:p>
        </w:tc>
        <w:tc>
          <w:tcPr>
            <w:tcW w:w="1000" w:type="dxa"/>
            <w:tcBorders>
              <w:top w:val="nil"/>
              <w:left w:val="nil"/>
              <w:bottom w:val="single" w:sz="4" w:space="0" w:color="auto"/>
              <w:right w:val="single" w:sz="4" w:space="0" w:color="auto"/>
            </w:tcBorders>
            <w:shd w:val="clear" w:color="auto" w:fill="auto"/>
            <w:noWrap/>
            <w:vAlign w:val="bottom"/>
            <w:hideMark/>
          </w:tcPr>
          <w:p w:rsidR="000A4FB5" w:rsidRPr="000A4FB5" w:rsidRDefault="000A4FB5" w:rsidP="000A4FB5">
            <w:pPr>
              <w:spacing w:after="0" w:line="240" w:lineRule="auto"/>
              <w:jc w:val="center"/>
              <w:rPr>
                <w:rFonts w:ascii="Calibri" w:eastAsia="Times New Roman" w:hAnsi="Calibri" w:cs="Times New Roman"/>
                <w:color w:val="000000"/>
                <w:sz w:val="20"/>
                <w:lang w:eastAsia="en-GB"/>
              </w:rPr>
            </w:pPr>
            <w:r w:rsidRPr="000A4FB5">
              <w:rPr>
                <w:rFonts w:ascii="Calibri" w:eastAsia="Times New Roman" w:hAnsi="Calibri" w:cs="Times New Roman"/>
                <w:color w:val="000000"/>
                <w:sz w:val="20"/>
                <w:lang w:eastAsia="en-GB"/>
              </w:rPr>
              <w:t>14</w:t>
            </w:r>
          </w:p>
        </w:tc>
        <w:tc>
          <w:tcPr>
            <w:tcW w:w="1828" w:type="dxa"/>
            <w:tcBorders>
              <w:top w:val="nil"/>
              <w:left w:val="nil"/>
              <w:bottom w:val="single" w:sz="4" w:space="0" w:color="auto"/>
              <w:right w:val="single" w:sz="8" w:space="0" w:color="auto"/>
            </w:tcBorders>
            <w:shd w:val="clear" w:color="auto" w:fill="auto"/>
            <w:noWrap/>
            <w:vAlign w:val="bottom"/>
            <w:hideMark/>
          </w:tcPr>
          <w:p w:rsidR="000A4FB5" w:rsidRPr="000A4FB5" w:rsidRDefault="000A4FB5" w:rsidP="000A4FB5">
            <w:pPr>
              <w:spacing w:after="0" w:line="240" w:lineRule="auto"/>
              <w:jc w:val="center"/>
              <w:rPr>
                <w:rFonts w:ascii="Calibri" w:eastAsia="Times New Roman" w:hAnsi="Calibri" w:cs="Times New Roman"/>
                <w:color w:val="000000"/>
                <w:sz w:val="20"/>
                <w:lang w:eastAsia="en-GB"/>
              </w:rPr>
            </w:pPr>
            <w:r w:rsidRPr="000A4FB5">
              <w:rPr>
                <w:rFonts w:ascii="Calibri" w:eastAsia="Times New Roman" w:hAnsi="Calibri" w:cs="Times New Roman"/>
                <w:color w:val="000000"/>
                <w:sz w:val="20"/>
                <w:lang w:eastAsia="en-GB"/>
              </w:rPr>
              <w:t>152</w:t>
            </w:r>
          </w:p>
        </w:tc>
      </w:tr>
      <w:tr w:rsidR="000A4FB5" w:rsidRPr="000A4FB5" w:rsidTr="000A4FB5">
        <w:trPr>
          <w:trHeight w:val="294"/>
        </w:trPr>
        <w:tc>
          <w:tcPr>
            <w:tcW w:w="2400" w:type="dxa"/>
            <w:tcBorders>
              <w:top w:val="nil"/>
              <w:left w:val="single" w:sz="8" w:space="0" w:color="auto"/>
              <w:bottom w:val="single" w:sz="8" w:space="0" w:color="auto"/>
              <w:right w:val="single" w:sz="4" w:space="0" w:color="auto"/>
            </w:tcBorders>
            <w:shd w:val="clear" w:color="auto" w:fill="auto"/>
            <w:noWrap/>
            <w:vAlign w:val="bottom"/>
            <w:hideMark/>
          </w:tcPr>
          <w:p w:rsidR="000A4FB5" w:rsidRPr="000A4FB5" w:rsidRDefault="000A4FB5" w:rsidP="000A4FB5">
            <w:pPr>
              <w:spacing w:after="0" w:line="240" w:lineRule="auto"/>
              <w:rPr>
                <w:rFonts w:ascii="Calibri" w:eastAsia="Times New Roman" w:hAnsi="Calibri" w:cs="Times New Roman"/>
                <w:color w:val="000000"/>
                <w:sz w:val="20"/>
                <w:lang w:eastAsia="en-GB"/>
              </w:rPr>
            </w:pPr>
            <w:r w:rsidRPr="000A4FB5">
              <w:rPr>
                <w:rFonts w:ascii="Calibri" w:eastAsia="Times New Roman" w:hAnsi="Calibri" w:cs="Times New Roman"/>
                <w:color w:val="000000"/>
                <w:sz w:val="20"/>
                <w:lang w:eastAsia="en-GB"/>
              </w:rPr>
              <w:t>Train freight</w:t>
            </w:r>
          </w:p>
        </w:tc>
        <w:tc>
          <w:tcPr>
            <w:tcW w:w="1540" w:type="dxa"/>
            <w:tcBorders>
              <w:top w:val="nil"/>
              <w:left w:val="nil"/>
              <w:bottom w:val="single" w:sz="8" w:space="0" w:color="auto"/>
              <w:right w:val="single" w:sz="4" w:space="0" w:color="auto"/>
            </w:tcBorders>
            <w:shd w:val="clear" w:color="auto" w:fill="auto"/>
            <w:noWrap/>
            <w:vAlign w:val="bottom"/>
            <w:hideMark/>
          </w:tcPr>
          <w:p w:rsidR="000A4FB5" w:rsidRPr="000A4FB5" w:rsidRDefault="000A4FB5" w:rsidP="000A4FB5">
            <w:pPr>
              <w:spacing w:after="0" w:line="240" w:lineRule="auto"/>
              <w:jc w:val="center"/>
              <w:rPr>
                <w:rFonts w:ascii="Calibri" w:eastAsia="Times New Roman" w:hAnsi="Calibri" w:cs="Times New Roman"/>
                <w:color w:val="000000"/>
                <w:sz w:val="20"/>
                <w:lang w:eastAsia="en-GB"/>
              </w:rPr>
            </w:pPr>
            <w:r w:rsidRPr="000A4FB5">
              <w:rPr>
                <w:rFonts w:ascii="Calibri" w:eastAsia="Times New Roman" w:hAnsi="Calibri" w:cs="Times New Roman"/>
                <w:color w:val="000000"/>
                <w:sz w:val="20"/>
                <w:lang w:eastAsia="en-GB"/>
              </w:rPr>
              <w:t>14</w:t>
            </w:r>
          </w:p>
        </w:tc>
        <w:tc>
          <w:tcPr>
            <w:tcW w:w="1160" w:type="dxa"/>
            <w:tcBorders>
              <w:top w:val="nil"/>
              <w:left w:val="nil"/>
              <w:bottom w:val="single" w:sz="8" w:space="0" w:color="auto"/>
              <w:right w:val="single" w:sz="4" w:space="0" w:color="auto"/>
            </w:tcBorders>
            <w:shd w:val="clear" w:color="auto" w:fill="auto"/>
            <w:noWrap/>
            <w:vAlign w:val="bottom"/>
            <w:hideMark/>
          </w:tcPr>
          <w:p w:rsidR="000A4FB5" w:rsidRPr="000A4FB5" w:rsidRDefault="000A4FB5" w:rsidP="000A4FB5">
            <w:pPr>
              <w:spacing w:after="0" w:line="240" w:lineRule="auto"/>
              <w:jc w:val="center"/>
              <w:rPr>
                <w:rFonts w:ascii="Calibri" w:eastAsia="Times New Roman" w:hAnsi="Calibri" w:cs="Times New Roman"/>
                <w:color w:val="000000"/>
                <w:sz w:val="20"/>
                <w:lang w:eastAsia="en-GB"/>
              </w:rPr>
            </w:pPr>
            <w:r w:rsidRPr="000A4FB5">
              <w:rPr>
                <w:rFonts w:ascii="Calibri" w:eastAsia="Times New Roman" w:hAnsi="Calibri" w:cs="Times New Roman"/>
                <w:color w:val="000000"/>
                <w:sz w:val="20"/>
                <w:lang w:eastAsia="en-GB"/>
              </w:rPr>
              <w:t>18</w:t>
            </w:r>
          </w:p>
        </w:tc>
        <w:tc>
          <w:tcPr>
            <w:tcW w:w="1000" w:type="dxa"/>
            <w:tcBorders>
              <w:top w:val="nil"/>
              <w:left w:val="nil"/>
              <w:bottom w:val="single" w:sz="8" w:space="0" w:color="auto"/>
              <w:right w:val="single" w:sz="4" w:space="0" w:color="auto"/>
            </w:tcBorders>
            <w:shd w:val="clear" w:color="auto" w:fill="auto"/>
            <w:noWrap/>
            <w:vAlign w:val="bottom"/>
            <w:hideMark/>
          </w:tcPr>
          <w:p w:rsidR="000A4FB5" w:rsidRPr="000A4FB5" w:rsidRDefault="000A4FB5" w:rsidP="000A4FB5">
            <w:pPr>
              <w:spacing w:after="0" w:line="240" w:lineRule="auto"/>
              <w:jc w:val="center"/>
              <w:rPr>
                <w:rFonts w:ascii="Calibri" w:eastAsia="Times New Roman" w:hAnsi="Calibri" w:cs="Times New Roman"/>
                <w:color w:val="000000"/>
                <w:sz w:val="20"/>
                <w:lang w:eastAsia="en-GB"/>
              </w:rPr>
            </w:pPr>
            <w:r w:rsidRPr="000A4FB5">
              <w:rPr>
                <w:rFonts w:ascii="Calibri" w:eastAsia="Times New Roman" w:hAnsi="Calibri" w:cs="Times New Roman"/>
                <w:color w:val="000000"/>
                <w:sz w:val="20"/>
                <w:lang w:eastAsia="en-GB"/>
              </w:rPr>
              <w:t>0</w:t>
            </w:r>
          </w:p>
        </w:tc>
        <w:tc>
          <w:tcPr>
            <w:tcW w:w="1828" w:type="dxa"/>
            <w:tcBorders>
              <w:top w:val="nil"/>
              <w:left w:val="nil"/>
              <w:bottom w:val="single" w:sz="8" w:space="0" w:color="auto"/>
              <w:right w:val="single" w:sz="8" w:space="0" w:color="auto"/>
            </w:tcBorders>
            <w:shd w:val="clear" w:color="auto" w:fill="auto"/>
            <w:noWrap/>
            <w:vAlign w:val="bottom"/>
            <w:hideMark/>
          </w:tcPr>
          <w:p w:rsidR="000A4FB5" w:rsidRPr="000A4FB5" w:rsidRDefault="000A4FB5" w:rsidP="000A4FB5">
            <w:pPr>
              <w:spacing w:after="0" w:line="240" w:lineRule="auto"/>
              <w:jc w:val="center"/>
              <w:rPr>
                <w:rFonts w:ascii="Calibri" w:eastAsia="Times New Roman" w:hAnsi="Calibri" w:cs="Times New Roman"/>
                <w:color w:val="000000"/>
                <w:sz w:val="20"/>
                <w:lang w:eastAsia="en-GB"/>
              </w:rPr>
            </w:pPr>
            <w:r w:rsidRPr="000A4FB5">
              <w:rPr>
                <w:rFonts w:ascii="Calibri" w:eastAsia="Times New Roman" w:hAnsi="Calibri" w:cs="Times New Roman"/>
                <w:color w:val="000000"/>
                <w:sz w:val="20"/>
                <w:lang w:eastAsia="en-GB"/>
              </w:rPr>
              <w:t>18</w:t>
            </w:r>
          </w:p>
        </w:tc>
      </w:tr>
    </w:tbl>
    <w:p w:rsidR="000A4FB5" w:rsidRPr="000A4FB5" w:rsidRDefault="000A4FB5" w:rsidP="000A4FB5"/>
    <w:p w:rsidR="000A4FB5" w:rsidRDefault="000A4FB5" w:rsidP="000A4FB5">
      <w:pPr>
        <w:pStyle w:val="Heading2"/>
      </w:pPr>
      <w:bookmarkStart w:id="42" w:name="_Toc466207368"/>
      <w:r>
        <w:lastRenderedPageBreak/>
        <w:t>A</w:t>
      </w:r>
      <w:r w:rsidR="004317A6">
        <w:t>1.</w:t>
      </w:r>
      <w:r>
        <w:t>5: Baseline</w:t>
      </w:r>
      <w:bookmarkEnd w:id="42"/>
    </w:p>
    <w:p w:rsidR="000A4FB5" w:rsidRDefault="000A4FB5" w:rsidP="000A4FB5">
      <w:r w:rsidRPr="000A4FB5">
        <w:rPr>
          <w:noProof/>
          <w:lang w:eastAsia="en-GB"/>
        </w:rPr>
        <w:drawing>
          <wp:inline distT="0" distB="0" distL="0" distR="0" wp14:anchorId="37BBC800" wp14:editId="39F47B8C">
            <wp:extent cx="8863330" cy="1178511"/>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863330" cy="1178511"/>
                    </a:xfrm>
                    <a:prstGeom prst="rect">
                      <a:avLst/>
                    </a:prstGeom>
                    <a:noFill/>
                    <a:ln>
                      <a:noFill/>
                    </a:ln>
                  </pic:spPr>
                </pic:pic>
              </a:graphicData>
            </a:graphic>
          </wp:inline>
        </w:drawing>
      </w:r>
    </w:p>
    <w:p w:rsidR="000A4FB5" w:rsidRDefault="000A4FB5" w:rsidP="000A4FB5">
      <w:pPr>
        <w:pStyle w:val="Heading2"/>
      </w:pPr>
      <w:bookmarkStart w:id="43" w:name="_Toc466207369"/>
      <w:r>
        <w:t>A</w:t>
      </w:r>
      <w:r w:rsidR="004317A6">
        <w:t>1.</w:t>
      </w:r>
      <w:r>
        <w:t>6: Mitigation Impact</w:t>
      </w:r>
      <w:bookmarkEnd w:id="43"/>
    </w:p>
    <w:p w:rsidR="000A4FB5" w:rsidRDefault="000A4FB5" w:rsidP="000A4FB5">
      <w:r w:rsidRPr="000A4FB5">
        <w:rPr>
          <w:noProof/>
          <w:lang w:eastAsia="en-GB"/>
        </w:rPr>
        <w:drawing>
          <wp:inline distT="0" distB="0" distL="0" distR="0" wp14:anchorId="733488A4" wp14:editId="416AF32A">
            <wp:extent cx="8863330" cy="189153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863330" cy="1891531"/>
                    </a:xfrm>
                    <a:prstGeom prst="rect">
                      <a:avLst/>
                    </a:prstGeom>
                    <a:noFill/>
                    <a:ln>
                      <a:noFill/>
                    </a:ln>
                  </pic:spPr>
                </pic:pic>
              </a:graphicData>
            </a:graphic>
          </wp:inline>
        </w:drawing>
      </w:r>
    </w:p>
    <w:p w:rsidR="000A4FB5" w:rsidRDefault="000A4FB5" w:rsidP="000A4FB5">
      <w:pPr>
        <w:pStyle w:val="Heading2"/>
      </w:pPr>
      <w:bookmarkStart w:id="44" w:name="_Toc466207370"/>
      <w:r>
        <w:t>A</w:t>
      </w:r>
      <w:r w:rsidR="004317A6">
        <w:t>1.</w:t>
      </w:r>
      <w:r>
        <w:t xml:space="preserve">7: </w:t>
      </w:r>
      <w:r w:rsidR="004444B7">
        <w:t>Rail and Road Construction Parameters</w:t>
      </w:r>
      <w:bookmarkEnd w:id="44"/>
    </w:p>
    <w:tbl>
      <w:tblPr>
        <w:tblW w:w="13887"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2405"/>
        <w:gridCol w:w="1276"/>
        <w:gridCol w:w="1559"/>
        <w:gridCol w:w="8647"/>
      </w:tblGrid>
      <w:tr w:rsidR="004444B7" w:rsidRPr="004444B7" w:rsidTr="004444B7">
        <w:trPr>
          <w:trHeight w:val="288"/>
        </w:trPr>
        <w:tc>
          <w:tcPr>
            <w:tcW w:w="2405" w:type="dxa"/>
            <w:shd w:val="clear" w:color="000000" w:fill="DDEBF7"/>
            <w:vAlign w:val="center"/>
            <w:hideMark/>
          </w:tcPr>
          <w:p w:rsidR="004444B7" w:rsidRPr="004444B7" w:rsidRDefault="004444B7" w:rsidP="004444B7">
            <w:pPr>
              <w:spacing w:after="0" w:line="240" w:lineRule="auto"/>
              <w:rPr>
                <w:rFonts w:ascii="Calibri" w:eastAsia="Times New Roman" w:hAnsi="Calibri" w:cs="Times New Roman"/>
                <w:b/>
                <w:bCs/>
                <w:color w:val="000000"/>
                <w:sz w:val="20"/>
                <w:lang w:eastAsia="en-GB"/>
              </w:rPr>
            </w:pPr>
            <w:r w:rsidRPr="004444B7">
              <w:rPr>
                <w:rFonts w:ascii="Calibri" w:eastAsia="Times New Roman" w:hAnsi="Calibri" w:cs="Times New Roman"/>
                <w:b/>
                <w:bCs/>
                <w:color w:val="000000"/>
                <w:sz w:val="20"/>
                <w:lang w:eastAsia="en-GB"/>
              </w:rPr>
              <w:t>Parameter</w:t>
            </w:r>
          </w:p>
        </w:tc>
        <w:tc>
          <w:tcPr>
            <w:tcW w:w="1276" w:type="dxa"/>
            <w:shd w:val="clear" w:color="000000" w:fill="DDEBF7"/>
            <w:vAlign w:val="center"/>
            <w:hideMark/>
          </w:tcPr>
          <w:p w:rsidR="004444B7" w:rsidRPr="004444B7" w:rsidRDefault="004444B7" w:rsidP="004444B7">
            <w:pPr>
              <w:spacing w:after="0" w:line="240" w:lineRule="auto"/>
              <w:jc w:val="center"/>
              <w:rPr>
                <w:rFonts w:ascii="Calibri" w:eastAsia="Times New Roman" w:hAnsi="Calibri" w:cs="Times New Roman"/>
                <w:b/>
                <w:bCs/>
                <w:color w:val="000000"/>
                <w:sz w:val="20"/>
                <w:lang w:eastAsia="en-GB"/>
              </w:rPr>
            </w:pPr>
            <w:r w:rsidRPr="004444B7">
              <w:rPr>
                <w:rFonts w:ascii="Calibri" w:eastAsia="Times New Roman" w:hAnsi="Calibri" w:cs="Times New Roman"/>
                <w:b/>
                <w:bCs/>
                <w:color w:val="000000"/>
                <w:sz w:val="20"/>
                <w:lang w:eastAsia="en-GB"/>
              </w:rPr>
              <w:t>Value</w:t>
            </w:r>
          </w:p>
        </w:tc>
        <w:tc>
          <w:tcPr>
            <w:tcW w:w="1559" w:type="dxa"/>
            <w:shd w:val="clear" w:color="000000" w:fill="DDEBF7"/>
            <w:noWrap/>
            <w:vAlign w:val="bottom"/>
            <w:hideMark/>
          </w:tcPr>
          <w:p w:rsidR="004444B7" w:rsidRPr="004444B7" w:rsidRDefault="004444B7" w:rsidP="004444B7">
            <w:pPr>
              <w:spacing w:after="0" w:line="240" w:lineRule="auto"/>
              <w:rPr>
                <w:rFonts w:ascii="Calibri" w:eastAsia="Times New Roman" w:hAnsi="Calibri" w:cs="Times New Roman"/>
                <w:b/>
                <w:bCs/>
                <w:color w:val="000000"/>
                <w:sz w:val="20"/>
                <w:lang w:eastAsia="en-GB"/>
              </w:rPr>
            </w:pPr>
            <w:r w:rsidRPr="004444B7">
              <w:rPr>
                <w:rFonts w:ascii="Calibri" w:eastAsia="Times New Roman" w:hAnsi="Calibri" w:cs="Times New Roman"/>
                <w:b/>
                <w:bCs/>
                <w:color w:val="000000"/>
                <w:sz w:val="20"/>
                <w:lang w:eastAsia="en-GB"/>
              </w:rPr>
              <w:t>Unit</w:t>
            </w:r>
          </w:p>
        </w:tc>
        <w:tc>
          <w:tcPr>
            <w:tcW w:w="8647" w:type="dxa"/>
            <w:shd w:val="clear" w:color="000000" w:fill="DDEBF7"/>
            <w:vAlign w:val="center"/>
            <w:hideMark/>
          </w:tcPr>
          <w:p w:rsidR="004444B7" w:rsidRPr="004444B7" w:rsidRDefault="004444B7" w:rsidP="004444B7">
            <w:pPr>
              <w:spacing w:after="0" w:line="240" w:lineRule="auto"/>
              <w:rPr>
                <w:rFonts w:ascii="Calibri" w:eastAsia="Times New Roman" w:hAnsi="Calibri" w:cs="Times New Roman"/>
                <w:b/>
                <w:bCs/>
                <w:color w:val="000000"/>
                <w:sz w:val="20"/>
                <w:lang w:eastAsia="en-GB"/>
              </w:rPr>
            </w:pPr>
            <w:r w:rsidRPr="004444B7">
              <w:rPr>
                <w:rFonts w:ascii="Calibri" w:eastAsia="Times New Roman" w:hAnsi="Calibri" w:cs="Times New Roman"/>
                <w:b/>
                <w:bCs/>
                <w:color w:val="000000"/>
                <w:sz w:val="20"/>
                <w:lang w:eastAsia="en-GB"/>
              </w:rPr>
              <w:t>Source</w:t>
            </w:r>
          </w:p>
        </w:tc>
      </w:tr>
      <w:tr w:rsidR="004444B7" w:rsidRPr="004444B7" w:rsidTr="004444B7">
        <w:trPr>
          <w:trHeight w:val="288"/>
        </w:trPr>
        <w:tc>
          <w:tcPr>
            <w:tcW w:w="2405"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Road capacity per hour</w:t>
            </w:r>
          </w:p>
        </w:tc>
        <w:tc>
          <w:tcPr>
            <w:tcW w:w="1276" w:type="dxa"/>
            <w:shd w:val="clear" w:color="auto" w:fill="auto"/>
            <w:noWrap/>
            <w:vAlign w:val="bottom"/>
            <w:hideMark/>
          </w:tcPr>
          <w:p w:rsidR="004444B7" w:rsidRPr="004444B7" w:rsidRDefault="004444B7" w:rsidP="004444B7">
            <w:pPr>
              <w:spacing w:after="0" w:line="240" w:lineRule="auto"/>
              <w:jc w:val="center"/>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700</w:t>
            </w:r>
          </w:p>
        </w:tc>
        <w:tc>
          <w:tcPr>
            <w:tcW w:w="1559"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PCU/h</w:t>
            </w:r>
          </w:p>
        </w:tc>
        <w:tc>
          <w:tcPr>
            <w:tcW w:w="8647"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Highways Agency, 1999;  2 lane 1 carriageway; 10-12m wide; speed ,50kmh; 20-25% HDVs</w:t>
            </w:r>
          </w:p>
        </w:tc>
      </w:tr>
      <w:tr w:rsidR="004444B7" w:rsidRPr="004444B7" w:rsidTr="004444B7">
        <w:trPr>
          <w:trHeight w:val="288"/>
        </w:trPr>
        <w:tc>
          <w:tcPr>
            <w:tcW w:w="2405"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hours per day for road</w:t>
            </w:r>
          </w:p>
        </w:tc>
        <w:tc>
          <w:tcPr>
            <w:tcW w:w="1276" w:type="dxa"/>
            <w:shd w:val="clear" w:color="auto" w:fill="auto"/>
            <w:noWrap/>
            <w:vAlign w:val="bottom"/>
            <w:hideMark/>
          </w:tcPr>
          <w:p w:rsidR="004444B7" w:rsidRPr="004444B7" w:rsidRDefault="004444B7" w:rsidP="004444B7">
            <w:pPr>
              <w:spacing w:after="0" w:line="240" w:lineRule="auto"/>
              <w:jc w:val="center"/>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18</w:t>
            </w:r>
          </w:p>
        </w:tc>
        <w:tc>
          <w:tcPr>
            <w:tcW w:w="1559"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h</w:t>
            </w:r>
          </w:p>
        </w:tc>
        <w:tc>
          <w:tcPr>
            <w:tcW w:w="8647"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 </w:t>
            </w:r>
          </w:p>
        </w:tc>
      </w:tr>
      <w:tr w:rsidR="004444B7" w:rsidRPr="004444B7" w:rsidTr="004444B7">
        <w:trPr>
          <w:trHeight w:val="288"/>
        </w:trPr>
        <w:tc>
          <w:tcPr>
            <w:tcW w:w="2405"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Nu. PCU truck and bus</w:t>
            </w:r>
          </w:p>
        </w:tc>
        <w:tc>
          <w:tcPr>
            <w:tcW w:w="1276" w:type="dxa"/>
            <w:shd w:val="clear" w:color="auto" w:fill="auto"/>
            <w:noWrap/>
            <w:vAlign w:val="bottom"/>
            <w:hideMark/>
          </w:tcPr>
          <w:p w:rsidR="004444B7" w:rsidRPr="004444B7" w:rsidRDefault="004444B7" w:rsidP="004444B7">
            <w:pPr>
              <w:spacing w:after="0" w:line="240" w:lineRule="auto"/>
              <w:jc w:val="center"/>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2</w:t>
            </w:r>
          </w:p>
        </w:tc>
        <w:tc>
          <w:tcPr>
            <w:tcW w:w="1559"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 </w:t>
            </w:r>
          </w:p>
        </w:tc>
        <w:tc>
          <w:tcPr>
            <w:tcW w:w="8647"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due to size</w:t>
            </w:r>
          </w:p>
        </w:tc>
      </w:tr>
      <w:tr w:rsidR="004444B7" w:rsidRPr="004444B7" w:rsidTr="004444B7">
        <w:trPr>
          <w:trHeight w:val="336"/>
        </w:trPr>
        <w:tc>
          <w:tcPr>
            <w:tcW w:w="2405"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EF road construction</w:t>
            </w:r>
          </w:p>
        </w:tc>
        <w:tc>
          <w:tcPr>
            <w:tcW w:w="1276" w:type="dxa"/>
            <w:shd w:val="clear" w:color="auto" w:fill="auto"/>
            <w:noWrap/>
            <w:vAlign w:val="bottom"/>
            <w:hideMark/>
          </w:tcPr>
          <w:p w:rsidR="004444B7" w:rsidRPr="004444B7" w:rsidRDefault="004444B7" w:rsidP="004444B7">
            <w:pPr>
              <w:spacing w:after="0" w:line="240" w:lineRule="auto"/>
              <w:jc w:val="center"/>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20</w:t>
            </w:r>
          </w:p>
        </w:tc>
        <w:tc>
          <w:tcPr>
            <w:tcW w:w="1559"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tCO</w:t>
            </w:r>
            <w:r w:rsidRPr="004444B7">
              <w:rPr>
                <w:rFonts w:ascii="Calibri" w:eastAsia="Times New Roman" w:hAnsi="Calibri" w:cs="Times New Roman"/>
                <w:color w:val="000000"/>
                <w:sz w:val="20"/>
                <w:vertAlign w:val="subscript"/>
                <w:lang w:eastAsia="en-GB"/>
              </w:rPr>
              <w:t>2</w:t>
            </w:r>
            <w:r w:rsidRPr="004444B7">
              <w:rPr>
                <w:rFonts w:ascii="Calibri" w:eastAsia="Times New Roman" w:hAnsi="Calibri" w:cs="Times New Roman"/>
                <w:color w:val="000000"/>
                <w:sz w:val="20"/>
                <w:lang w:eastAsia="en-GB"/>
              </w:rPr>
              <w:t>/lane/a</w:t>
            </w:r>
          </w:p>
        </w:tc>
        <w:tc>
          <w:tcPr>
            <w:tcW w:w="8647"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Hill, 2012; EUPave, 2011</w:t>
            </w:r>
          </w:p>
        </w:tc>
      </w:tr>
      <w:tr w:rsidR="004444B7" w:rsidRPr="004444B7" w:rsidTr="004444B7">
        <w:trPr>
          <w:trHeight w:val="336"/>
        </w:trPr>
        <w:tc>
          <w:tcPr>
            <w:tcW w:w="2405"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EF rail construction</w:t>
            </w:r>
          </w:p>
        </w:tc>
        <w:tc>
          <w:tcPr>
            <w:tcW w:w="1276" w:type="dxa"/>
            <w:shd w:val="clear" w:color="auto" w:fill="auto"/>
            <w:noWrap/>
            <w:vAlign w:val="bottom"/>
            <w:hideMark/>
          </w:tcPr>
          <w:p w:rsidR="004444B7" w:rsidRPr="004444B7" w:rsidRDefault="004444B7" w:rsidP="004444B7">
            <w:pPr>
              <w:spacing w:after="0" w:line="240" w:lineRule="auto"/>
              <w:jc w:val="center"/>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40</w:t>
            </w:r>
          </w:p>
        </w:tc>
        <w:tc>
          <w:tcPr>
            <w:tcW w:w="1559"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tCO</w:t>
            </w:r>
            <w:r w:rsidRPr="004444B7">
              <w:rPr>
                <w:rFonts w:ascii="Calibri" w:eastAsia="Times New Roman" w:hAnsi="Calibri" w:cs="Times New Roman"/>
                <w:color w:val="000000"/>
                <w:sz w:val="20"/>
                <w:vertAlign w:val="subscript"/>
                <w:lang w:eastAsia="en-GB"/>
              </w:rPr>
              <w:t>2</w:t>
            </w:r>
            <w:r w:rsidRPr="004444B7">
              <w:rPr>
                <w:rFonts w:ascii="Calibri" w:eastAsia="Times New Roman" w:hAnsi="Calibri" w:cs="Times New Roman"/>
                <w:color w:val="000000"/>
                <w:sz w:val="20"/>
                <w:lang w:eastAsia="en-GB"/>
              </w:rPr>
              <w:t>/track/a</w:t>
            </w:r>
          </w:p>
        </w:tc>
        <w:tc>
          <w:tcPr>
            <w:tcW w:w="8647"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Hill, 2012, table 3.8 excludes tunnel and electric</w:t>
            </w:r>
          </w:p>
        </w:tc>
      </w:tr>
      <w:tr w:rsidR="004444B7" w:rsidRPr="004444B7" w:rsidTr="004444B7">
        <w:trPr>
          <w:trHeight w:val="288"/>
        </w:trPr>
        <w:tc>
          <w:tcPr>
            <w:tcW w:w="2405"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Rail tracks BR 2013</w:t>
            </w:r>
          </w:p>
        </w:tc>
        <w:tc>
          <w:tcPr>
            <w:tcW w:w="1276" w:type="dxa"/>
            <w:shd w:val="clear" w:color="auto" w:fill="auto"/>
            <w:noWrap/>
            <w:vAlign w:val="bottom"/>
            <w:hideMark/>
          </w:tcPr>
          <w:p w:rsidR="004444B7" w:rsidRPr="004444B7" w:rsidRDefault="004444B7" w:rsidP="004444B7">
            <w:pPr>
              <w:spacing w:after="0" w:line="240" w:lineRule="auto"/>
              <w:jc w:val="center"/>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390</w:t>
            </w:r>
          </w:p>
        </w:tc>
        <w:tc>
          <w:tcPr>
            <w:tcW w:w="1559"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km</w:t>
            </w:r>
          </w:p>
        </w:tc>
        <w:tc>
          <w:tcPr>
            <w:tcW w:w="8647"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BR, Master Plan p. 122 with new lines Dhaka Jessore, Dhaka-Laksam, Corridor 6</w:t>
            </w:r>
          </w:p>
        </w:tc>
      </w:tr>
    </w:tbl>
    <w:p w:rsidR="004444B7" w:rsidRDefault="004444B7" w:rsidP="004444B7"/>
    <w:p w:rsidR="004444B7" w:rsidRDefault="004444B7" w:rsidP="004444B7">
      <w:pPr>
        <w:pStyle w:val="Heading2"/>
      </w:pPr>
      <w:bookmarkStart w:id="45" w:name="_Toc466207371"/>
      <w:r>
        <w:lastRenderedPageBreak/>
        <w:t>A</w:t>
      </w:r>
      <w:r w:rsidR="004317A6">
        <w:t>1.</w:t>
      </w:r>
      <w:r>
        <w:t>8: Indirect Emissions Rail and Road Construction 2030</w:t>
      </w:r>
      <w:bookmarkEnd w:id="45"/>
    </w:p>
    <w:tbl>
      <w:tblPr>
        <w:tblW w:w="6340"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3700"/>
        <w:gridCol w:w="1220"/>
        <w:gridCol w:w="1420"/>
      </w:tblGrid>
      <w:tr w:rsidR="004444B7" w:rsidRPr="004444B7" w:rsidTr="004444B7">
        <w:trPr>
          <w:trHeight w:val="288"/>
        </w:trPr>
        <w:tc>
          <w:tcPr>
            <w:tcW w:w="3700" w:type="dxa"/>
            <w:shd w:val="clear" w:color="000000" w:fill="DDEBF7"/>
            <w:vAlign w:val="center"/>
            <w:hideMark/>
          </w:tcPr>
          <w:p w:rsidR="004444B7" w:rsidRPr="004444B7" w:rsidRDefault="004444B7" w:rsidP="004444B7">
            <w:pPr>
              <w:spacing w:after="0" w:line="240" w:lineRule="auto"/>
              <w:rPr>
                <w:rFonts w:ascii="Calibri" w:eastAsia="Times New Roman" w:hAnsi="Calibri" w:cs="Times New Roman"/>
                <w:b/>
                <w:bCs/>
                <w:color w:val="000000"/>
                <w:sz w:val="20"/>
                <w:lang w:eastAsia="en-GB"/>
              </w:rPr>
            </w:pPr>
            <w:r w:rsidRPr="004444B7">
              <w:rPr>
                <w:rFonts w:ascii="Calibri" w:eastAsia="Times New Roman" w:hAnsi="Calibri" w:cs="Times New Roman"/>
                <w:b/>
                <w:bCs/>
                <w:color w:val="000000"/>
                <w:sz w:val="20"/>
                <w:lang w:eastAsia="en-GB"/>
              </w:rPr>
              <w:t>Parameter</w:t>
            </w:r>
          </w:p>
        </w:tc>
        <w:tc>
          <w:tcPr>
            <w:tcW w:w="1220" w:type="dxa"/>
            <w:shd w:val="clear" w:color="000000" w:fill="DDEBF7"/>
            <w:vAlign w:val="center"/>
            <w:hideMark/>
          </w:tcPr>
          <w:p w:rsidR="004444B7" w:rsidRPr="004444B7" w:rsidRDefault="004444B7" w:rsidP="004444B7">
            <w:pPr>
              <w:spacing w:after="0" w:line="240" w:lineRule="auto"/>
              <w:jc w:val="center"/>
              <w:rPr>
                <w:rFonts w:ascii="Calibri" w:eastAsia="Times New Roman" w:hAnsi="Calibri" w:cs="Times New Roman"/>
                <w:b/>
                <w:bCs/>
                <w:color w:val="000000"/>
                <w:sz w:val="20"/>
                <w:lang w:eastAsia="en-GB"/>
              </w:rPr>
            </w:pPr>
            <w:r w:rsidRPr="004444B7">
              <w:rPr>
                <w:rFonts w:ascii="Calibri" w:eastAsia="Times New Roman" w:hAnsi="Calibri" w:cs="Times New Roman"/>
                <w:b/>
                <w:bCs/>
                <w:color w:val="000000"/>
                <w:sz w:val="20"/>
                <w:lang w:eastAsia="en-GB"/>
              </w:rPr>
              <w:t>Value</w:t>
            </w:r>
          </w:p>
        </w:tc>
        <w:tc>
          <w:tcPr>
            <w:tcW w:w="1420" w:type="dxa"/>
            <w:shd w:val="clear" w:color="000000" w:fill="DDEBF7"/>
            <w:noWrap/>
            <w:vAlign w:val="bottom"/>
            <w:hideMark/>
          </w:tcPr>
          <w:p w:rsidR="004444B7" w:rsidRPr="004444B7" w:rsidRDefault="004444B7" w:rsidP="004444B7">
            <w:pPr>
              <w:spacing w:after="0" w:line="240" w:lineRule="auto"/>
              <w:rPr>
                <w:rFonts w:ascii="Calibri" w:eastAsia="Times New Roman" w:hAnsi="Calibri" w:cs="Times New Roman"/>
                <w:b/>
                <w:bCs/>
                <w:color w:val="000000"/>
                <w:sz w:val="20"/>
                <w:lang w:eastAsia="en-GB"/>
              </w:rPr>
            </w:pPr>
            <w:r w:rsidRPr="004444B7">
              <w:rPr>
                <w:rFonts w:ascii="Calibri" w:eastAsia="Times New Roman" w:hAnsi="Calibri" w:cs="Times New Roman"/>
                <w:b/>
                <w:bCs/>
                <w:color w:val="000000"/>
                <w:sz w:val="20"/>
                <w:lang w:eastAsia="en-GB"/>
              </w:rPr>
              <w:t>Unit</w:t>
            </w:r>
          </w:p>
        </w:tc>
      </w:tr>
      <w:tr w:rsidR="004444B7" w:rsidRPr="004444B7" w:rsidTr="004444B7">
        <w:trPr>
          <w:trHeight w:val="288"/>
        </w:trPr>
        <w:tc>
          <w:tcPr>
            <w:tcW w:w="3700"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Additional road required</w:t>
            </w:r>
          </w:p>
        </w:tc>
        <w:tc>
          <w:tcPr>
            <w:tcW w:w="1220" w:type="dxa"/>
            <w:shd w:val="clear" w:color="auto" w:fill="auto"/>
            <w:noWrap/>
            <w:vAlign w:val="bottom"/>
            <w:hideMark/>
          </w:tcPr>
          <w:p w:rsidR="004444B7" w:rsidRPr="004444B7" w:rsidRDefault="004444B7" w:rsidP="004444B7">
            <w:pPr>
              <w:spacing w:after="0" w:line="240" w:lineRule="auto"/>
              <w:jc w:val="center"/>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169</w:t>
            </w:r>
          </w:p>
        </w:tc>
        <w:tc>
          <w:tcPr>
            <w:tcW w:w="1420"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km</w:t>
            </w:r>
          </w:p>
        </w:tc>
      </w:tr>
      <w:tr w:rsidR="004444B7" w:rsidRPr="004444B7" w:rsidTr="004444B7">
        <w:trPr>
          <w:trHeight w:val="336"/>
        </w:trPr>
        <w:tc>
          <w:tcPr>
            <w:tcW w:w="3700"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 xml:space="preserve">Additional road emissions </w:t>
            </w:r>
          </w:p>
        </w:tc>
        <w:tc>
          <w:tcPr>
            <w:tcW w:w="1220" w:type="dxa"/>
            <w:shd w:val="clear" w:color="auto" w:fill="auto"/>
            <w:noWrap/>
            <w:vAlign w:val="bottom"/>
            <w:hideMark/>
          </w:tcPr>
          <w:p w:rsidR="004444B7" w:rsidRPr="004444B7" w:rsidRDefault="004444B7" w:rsidP="004444B7">
            <w:pPr>
              <w:spacing w:after="0" w:line="240" w:lineRule="auto"/>
              <w:jc w:val="center"/>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3,388</w:t>
            </w:r>
          </w:p>
        </w:tc>
        <w:tc>
          <w:tcPr>
            <w:tcW w:w="1420"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tCO</w:t>
            </w:r>
            <w:r w:rsidRPr="004444B7">
              <w:rPr>
                <w:rFonts w:ascii="Calibri" w:eastAsia="Times New Roman" w:hAnsi="Calibri" w:cs="Times New Roman"/>
                <w:color w:val="000000"/>
                <w:sz w:val="20"/>
                <w:vertAlign w:val="subscript"/>
                <w:lang w:eastAsia="en-GB"/>
              </w:rPr>
              <w:t>2e</w:t>
            </w:r>
            <w:r w:rsidRPr="004444B7">
              <w:rPr>
                <w:rFonts w:ascii="Calibri" w:eastAsia="Times New Roman" w:hAnsi="Calibri" w:cs="Times New Roman"/>
                <w:color w:val="000000"/>
                <w:sz w:val="20"/>
                <w:lang w:eastAsia="en-GB"/>
              </w:rPr>
              <w:t>/a</w:t>
            </w:r>
          </w:p>
        </w:tc>
      </w:tr>
      <w:tr w:rsidR="004444B7" w:rsidRPr="004444B7" w:rsidTr="004444B7">
        <w:trPr>
          <w:trHeight w:val="288"/>
        </w:trPr>
        <w:tc>
          <w:tcPr>
            <w:tcW w:w="3700"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Additional rail tracks</w:t>
            </w:r>
          </w:p>
        </w:tc>
        <w:tc>
          <w:tcPr>
            <w:tcW w:w="1220" w:type="dxa"/>
            <w:shd w:val="clear" w:color="auto" w:fill="auto"/>
            <w:noWrap/>
            <w:vAlign w:val="bottom"/>
            <w:hideMark/>
          </w:tcPr>
          <w:p w:rsidR="004444B7" w:rsidRPr="004444B7" w:rsidRDefault="004444B7" w:rsidP="004444B7">
            <w:pPr>
              <w:spacing w:after="0" w:line="240" w:lineRule="auto"/>
              <w:jc w:val="center"/>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454</w:t>
            </w:r>
          </w:p>
        </w:tc>
        <w:tc>
          <w:tcPr>
            <w:tcW w:w="1420"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km</w:t>
            </w:r>
          </w:p>
        </w:tc>
      </w:tr>
      <w:tr w:rsidR="004444B7" w:rsidRPr="004444B7" w:rsidTr="004444B7">
        <w:trPr>
          <w:trHeight w:val="336"/>
        </w:trPr>
        <w:tc>
          <w:tcPr>
            <w:tcW w:w="3700"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Additional rail emissions</w:t>
            </w:r>
          </w:p>
        </w:tc>
        <w:tc>
          <w:tcPr>
            <w:tcW w:w="1220" w:type="dxa"/>
            <w:shd w:val="clear" w:color="auto" w:fill="auto"/>
            <w:noWrap/>
            <w:vAlign w:val="bottom"/>
            <w:hideMark/>
          </w:tcPr>
          <w:p w:rsidR="004444B7" w:rsidRPr="004444B7" w:rsidRDefault="004444B7" w:rsidP="004444B7">
            <w:pPr>
              <w:spacing w:after="0" w:line="240" w:lineRule="auto"/>
              <w:jc w:val="center"/>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18,144</w:t>
            </w:r>
          </w:p>
        </w:tc>
        <w:tc>
          <w:tcPr>
            <w:tcW w:w="1420"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tCO</w:t>
            </w:r>
            <w:r w:rsidRPr="004444B7">
              <w:rPr>
                <w:rFonts w:ascii="Calibri" w:eastAsia="Times New Roman" w:hAnsi="Calibri" w:cs="Times New Roman"/>
                <w:color w:val="000000"/>
                <w:sz w:val="20"/>
                <w:vertAlign w:val="subscript"/>
                <w:lang w:eastAsia="en-GB"/>
              </w:rPr>
              <w:t>2e</w:t>
            </w:r>
            <w:r w:rsidRPr="004444B7">
              <w:rPr>
                <w:rFonts w:ascii="Calibri" w:eastAsia="Times New Roman" w:hAnsi="Calibri" w:cs="Times New Roman"/>
                <w:color w:val="000000"/>
                <w:sz w:val="20"/>
                <w:lang w:eastAsia="en-GB"/>
              </w:rPr>
              <w:t>/a</w:t>
            </w:r>
          </w:p>
        </w:tc>
      </w:tr>
    </w:tbl>
    <w:p w:rsidR="004444B7" w:rsidRDefault="004444B7" w:rsidP="004444B7"/>
    <w:p w:rsidR="004444B7" w:rsidRDefault="004444B7" w:rsidP="004444B7">
      <w:pPr>
        <w:pStyle w:val="Heading2"/>
      </w:pPr>
      <w:bookmarkStart w:id="46" w:name="_Toc466207372"/>
      <w:r>
        <w:t>A</w:t>
      </w:r>
      <w:r w:rsidR="004317A6">
        <w:t>1.</w:t>
      </w:r>
      <w:r>
        <w:t>9: Vehicle Manufacturing Parameters</w:t>
      </w:r>
      <w:bookmarkEnd w:id="46"/>
    </w:p>
    <w:tbl>
      <w:tblPr>
        <w:tblW w:w="10201"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3114"/>
        <w:gridCol w:w="1276"/>
        <w:gridCol w:w="1275"/>
        <w:gridCol w:w="4536"/>
      </w:tblGrid>
      <w:tr w:rsidR="004444B7" w:rsidRPr="004444B7" w:rsidTr="004444B7">
        <w:trPr>
          <w:trHeight w:val="288"/>
        </w:trPr>
        <w:tc>
          <w:tcPr>
            <w:tcW w:w="3114" w:type="dxa"/>
            <w:shd w:val="clear" w:color="000000" w:fill="DDEBF7"/>
            <w:vAlign w:val="center"/>
            <w:hideMark/>
          </w:tcPr>
          <w:p w:rsidR="004444B7" w:rsidRPr="004444B7" w:rsidRDefault="004444B7" w:rsidP="004444B7">
            <w:pPr>
              <w:spacing w:after="0" w:line="240" w:lineRule="auto"/>
              <w:rPr>
                <w:rFonts w:ascii="Calibri" w:eastAsia="Times New Roman" w:hAnsi="Calibri" w:cs="Times New Roman"/>
                <w:b/>
                <w:bCs/>
                <w:color w:val="000000"/>
                <w:sz w:val="20"/>
                <w:lang w:eastAsia="en-GB"/>
              </w:rPr>
            </w:pPr>
            <w:r w:rsidRPr="004444B7">
              <w:rPr>
                <w:rFonts w:ascii="Calibri" w:eastAsia="Times New Roman" w:hAnsi="Calibri" w:cs="Times New Roman"/>
                <w:b/>
                <w:bCs/>
                <w:color w:val="000000"/>
                <w:sz w:val="20"/>
                <w:lang w:eastAsia="en-GB"/>
              </w:rPr>
              <w:t>Parameter</w:t>
            </w:r>
          </w:p>
        </w:tc>
        <w:tc>
          <w:tcPr>
            <w:tcW w:w="1276" w:type="dxa"/>
            <w:shd w:val="clear" w:color="000000" w:fill="DDEBF7"/>
            <w:vAlign w:val="center"/>
            <w:hideMark/>
          </w:tcPr>
          <w:p w:rsidR="004444B7" w:rsidRPr="004444B7" w:rsidRDefault="004444B7" w:rsidP="004444B7">
            <w:pPr>
              <w:spacing w:after="0" w:line="240" w:lineRule="auto"/>
              <w:jc w:val="center"/>
              <w:rPr>
                <w:rFonts w:ascii="Calibri" w:eastAsia="Times New Roman" w:hAnsi="Calibri" w:cs="Times New Roman"/>
                <w:b/>
                <w:bCs/>
                <w:color w:val="000000"/>
                <w:sz w:val="20"/>
                <w:lang w:eastAsia="en-GB"/>
              </w:rPr>
            </w:pPr>
            <w:r w:rsidRPr="004444B7">
              <w:rPr>
                <w:rFonts w:ascii="Calibri" w:eastAsia="Times New Roman" w:hAnsi="Calibri" w:cs="Times New Roman"/>
                <w:b/>
                <w:bCs/>
                <w:color w:val="000000"/>
                <w:sz w:val="20"/>
                <w:lang w:eastAsia="en-GB"/>
              </w:rPr>
              <w:t>Value</w:t>
            </w:r>
          </w:p>
        </w:tc>
        <w:tc>
          <w:tcPr>
            <w:tcW w:w="1275" w:type="dxa"/>
            <w:shd w:val="clear" w:color="000000" w:fill="DDEBF7"/>
            <w:noWrap/>
            <w:vAlign w:val="bottom"/>
            <w:hideMark/>
          </w:tcPr>
          <w:p w:rsidR="004444B7" w:rsidRPr="004444B7" w:rsidRDefault="004444B7" w:rsidP="004444B7">
            <w:pPr>
              <w:spacing w:after="0" w:line="240" w:lineRule="auto"/>
              <w:rPr>
                <w:rFonts w:ascii="Calibri" w:eastAsia="Times New Roman" w:hAnsi="Calibri" w:cs="Times New Roman"/>
                <w:b/>
                <w:bCs/>
                <w:color w:val="000000"/>
                <w:sz w:val="20"/>
                <w:lang w:eastAsia="en-GB"/>
              </w:rPr>
            </w:pPr>
            <w:r w:rsidRPr="004444B7">
              <w:rPr>
                <w:rFonts w:ascii="Calibri" w:eastAsia="Times New Roman" w:hAnsi="Calibri" w:cs="Times New Roman"/>
                <w:b/>
                <w:bCs/>
                <w:color w:val="000000"/>
                <w:sz w:val="20"/>
                <w:lang w:eastAsia="en-GB"/>
              </w:rPr>
              <w:t>Unit</w:t>
            </w:r>
          </w:p>
        </w:tc>
        <w:tc>
          <w:tcPr>
            <w:tcW w:w="4536" w:type="dxa"/>
            <w:shd w:val="clear" w:color="000000" w:fill="DDEBF7"/>
            <w:vAlign w:val="center"/>
            <w:hideMark/>
          </w:tcPr>
          <w:p w:rsidR="004444B7" w:rsidRPr="004444B7" w:rsidRDefault="004444B7" w:rsidP="004444B7">
            <w:pPr>
              <w:spacing w:after="0" w:line="240" w:lineRule="auto"/>
              <w:rPr>
                <w:rFonts w:ascii="Calibri" w:eastAsia="Times New Roman" w:hAnsi="Calibri" w:cs="Times New Roman"/>
                <w:b/>
                <w:bCs/>
                <w:color w:val="000000"/>
                <w:sz w:val="20"/>
                <w:lang w:eastAsia="en-GB"/>
              </w:rPr>
            </w:pPr>
            <w:r w:rsidRPr="004444B7">
              <w:rPr>
                <w:rFonts w:ascii="Calibri" w:eastAsia="Times New Roman" w:hAnsi="Calibri" w:cs="Times New Roman"/>
                <w:b/>
                <w:bCs/>
                <w:color w:val="000000"/>
                <w:sz w:val="20"/>
                <w:lang w:eastAsia="en-GB"/>
              </w:rPr>
              <w:t>Source</w:t>
            </w:r>
          </w:p>
        </w:tc>
      </w:tr>
      <w:tr w:rsidR="004444B7" w:rsidRPr="004444B7" w:rsidTr="004444B7">
        <w:trPr>
          <w:trHeight w:val="336"/>
        </w:trPr>
        <w:tc>
          <w:tcPr>
            <w:tcW w:w="3114" w:type="dxa"/>
            <w:shd w:val="clear" w:color="auto" w:fill="auto"/>
            <w:vAlign w:val="center"/>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EF for manufacturing bus/truck</w:t>
            </w:r>
          </w:p>
        </w:tc>
        <w:tc>
          <w:tcPr>
            <w:tcW w:w="1276" w:type="dxa"/>
            <w:shd w:val="clear" w:color="auto" w:fill="auto"/>
            <w:noWrap/>
            <w:vAlign w:val="bottom"/>
            <w:hideMark/>
          </w:tcPr>
          <w:p w:rsidR="004444B7" w:rsidRPr="004444B7" w:rsidRDefault="004444B7" w:rsidP="004444B7">
            <w:pPr>
              <w:spacing w:after="0" w:line="240" w:lineRule="auto"/>
              <w:jc w:val="center"/>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40</w:t>
            </w:r>
          </w:p>
        </w:tc>
        <w:tc>
          <w:tcPr>
            <w:tcW w:w="1275"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gCO</w:t>
            </w:r>
            <w:r w:rsidRPr="004444B7">
              <w:rPr>
                <w:rFonts w:ascii="Calibri" w:eastAsia="Times New Roman" w:hAnsi="Calibri" w:cs="Times New Roman"/>
                <w:color w:val="000000"/>
                <w:sz w:val="20"/>
                <w:vertAlign w:val="subscript"/>
                <w:lang w:eastAsia="en-GB"/>
              </w:rPr>
              <w:t>2</w:t>
            </w:r>
            <w:r w:rsidRPr="004444B7">
              <w:rPr>
                <w:rFonts w:ascii="Calibri" w:eastAsia="Times New Roman" w:hAnsi="Calibri" w:cs="Times New Roman"/>
                <w:color w:val="000000"/>
                <w:sz w:val="20"/>
                <w:lang w:eastAsia="en-GB"/>
              </w:rPr>
              <w:t>/km</w:t>
            </w:r>
          </w:p>
        </w:tc>
        <w:tc>
          <w:tcPr>
            <w:tcW w:w="4536"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ecoinvent Transport Services data version 2.0, 2007</w:t>
            </w:r>
          </w:p>
        </w:tc>
      </w:tr>
      <w:tr w:rsidR="004444B7" w:rsidRPr="004444B7" w:rsidTr="004444B7">
        <w:trPr>
          <w:trHeight w:val="336"/>
        </w:trPr>
        <w:tc>
          <w:tcPr>
            <w:tcW w:w="3114" w:type="dxa"/>
            <w:shd w:val="clear" w:color="auto" w:fill="auto"/>
            <w:vAlign w:val="center"/>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EF for manufacturing loco</w:t>
            </w:r>
          </w:p>
        </w:tc>
        <w:tc>
          <w:tcPr>
            <w:tcW w:w="1276" w:type="dxa"/>
            <w:shd w:val="clear" w:color="auto" w:fill="auto"/>
            <w:noWrap/>
            <w:vAlign w:val="bottom"/>
            <w:hideMark/>
          </w:tcPr>
          <w:p w:rsidR="004444B7" w:rsidRPr="004444B7" w:rsidRDefault="004444B7" w:rsidP="004444B7">
            <w:pPr>
              <w:spacing w:after="0" w:line="240" w:lineRule="auto"/>
              <w:jc w:val="center"/>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2.6</w:t>
            </w:r>
          </w:p>
        </w:tc>
        <w:tc>
          <w:tcPr>
            <w:tcW w:w="1275"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tCO</w:t>
            </w:r>
            <w:r w:rsidRPr="004444B7">
              <w:rPr>
                <w:rFonts w:ascii="Calibri" w:eastAsia="Times New Roman" w:hAnsi="Calibri" w:cs="Times New Roman"/>
                <w:color w:val="000000"/>
                <w:sz w:val="20"/>
                <w:vertAlign w:val="subscript"/>
                <w:lang w:eastAsia="en-GB"/>
              </w:rPr>
              <w:t>2</w:t>
            </w:r>
            <w:r w:rsidRPr="004444B7">
              <w:rPr>
                <w:rFonts w:ascii="Calibri" w:eastAsia="Times New Roman" w:hAnsi="Calibri" w:cs="Times New Roman"/>
                <w:color w:val="000000"/>
                <w:sz w:val="20"/>
                <w:lang w:eastAsia="en-GB"/>
              </w:rPr>
              <w:t>/a</w:t>
            </w:r>
          </w:p>
        </w:tc>
        <w:tc>
          <w:tcPr>
            <w:tcW w:w="4536"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Hill, 2012</w:t>
            </w:r>
          </w:p>
        </w:tc>
      </w:tr>
      <w:tr w:rsidR="004444B7" w:rsidRPr="004444B7" w:rsidTr="004444B7">
        <w:trPr>
          <w:trHeight w:val="336"/>
        </w:trPr>
        <w:tc>
          <w:tcPr>
            <w:tcW w:w="3114"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EF for manufacturing carriage</w:t>
            </w:r>
          </w:p>
        </w:tc>
        <w:tc>
          <w:tcPr>
            <w:tcW w:w="1276" w:type="dxa"/>
            <w:shd w:val="clear" w:color="auto" w:fill="auto"/>
            <w:noWrap/>
            <w:vAlign w:val="bottom"/>
            <w:hideMark/>
          </w:tcPr>
          <w:p w:rsidR="004444B7" w:rsidRPr="004444B7" w:rsidRDefault="004444B7" w:rsidP="004444B7">
            <w:pPr>
              <w:spacing w:after="0" w:line="240" w:lineRule="auto"/>
              <w:jc w:val="center"/>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1.3</w:t>
            </w:r>
          </w:p>
        </w:tc>
        <w:tc>
          <w:tcPr>
            <w:tcW w:w="1275"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tCO</w:t>
            </w:r>
            <w:r w:rsidRPr="004444B7">
              <w:rPr>
                <w:rFonts w:ascii="Calibri" w:eastAsia="Times New Roman" w:hAnsi="Calibri" w:cs="Times New Roman"/>
                <w:color w:val="000000"/>
                <w:sz w:val="20"/>
                <w:vertAlign w:val="subscript"/>
                <w:lang w:eastAsia="en-GB"/>
              </w:rPr>
              <w:t>2</w:t>
            </w:r>
            <w:r w:rsidRPr="004444B7">
              <w:rPr>
                <w:rFonts w:ascii="Calibri" w:eastAsia="Times New Roman" w:hAnsi="Calibri" w:cs="Times New Roman"/>
                <w:color w:val="000000"/>
                <w:sz w:val="20"/>
                <w:lang w:eastAsia="en-GB"/>
              </w:rPr>
              <w:t>/a</w:t>
            </w:r>
          </w:p>
        </w:tc>
        <w:tc>
          <w:tcPr>
            <w:tcW w:w="4536"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Hill, 2012</w:t>
            </w:r>
          </w:p>
        </w:tc>
      </w:tr>
      <w:tr w:rsidR="004444B7" w:rsidRPr="004444B7" w:rsidTr="004444B7">
        <w:trPr>
          <w:trHeight w:val="288"/>
        </w:trPr>
        <w:tc>
          <w:tcPr>
            <w:tcW w:w="3114" w:type="dxa"/>
            <w:shd w:val="clear" w:color="auto" w:fill="auto"/>
            <w:vAlign w:val="center"/>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 xml:space="preserve">Additional locos </w:t>
            </w:r>
          </w:p>
        </w:tc>
        <w:tc>
          <w:tcPr>
            <w:tcW w:w="1276" w:type="dxa"/>
            <w:shd w:val="clear" w:color="auto" w:fill="auto"/>
            <w:noWrap/>
            <w:vAlign w:val="bottom"/>
            <w:hideMark/>
          </w:tcPr>
          <w:p w:rsidR="004444B7" w:rsidRPr="004444B7" w:rsidRDefault="004444B7" w:rsidP="004444B7">
            <w:pPr>
              <w:spacing w:after="0" w:line="240" w:lineRule="auto"/>
              <w:jc w:val="center"/>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300</w:t>
            </w:r>
          </w:p>
        </w:tc>
        <w:tc>
          <w:tcPr>
            <w:tcW w:w="1275"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locos</w:t>
            </w:r>
          </w:p>
        </w:tc>
        <w:tc>
          <w:tcPr>
            <w:tcW w:w="4536"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BR, Master Plan, chapter 9</w:t>
            </w:r>
          </w:p>
        </w:tc>
      </w:tr>
      <w:tr w:rsidR="004444B7" w:rsidRPr="004444B7" w:rsidTr="004444B7">
        <w:trPr>
          <w:trHeight w:val="288"/>
        </w:trPr>
        <w:tc>
          <w:tcPr>
            <w:tcW w:w="3114" w:type="dxa"/>
            <w:shd w:val="clear" w:color="auto" w:fill="auto"/>
            <w:vAlign w:val="center"/>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Additional rail carriages</w:t>
            </w:r>
          </w:p>
        </w:tc>
        <w:tc>
          <w:tcPr>
            <w:tcW w:w="1276" w:type="dxa"/>
            <w:shd w:val="clear" w:color="auto" w:fill="auto"/>
            <w:noWrap/>
            <w:vAlign w:val="bottom"/>
            <w:hideMark/>
          </w:tcPr>
          <w:p w:rsidR="004444B7" w:rsidRPr="004444B7" w:rsidRDefault="004444B7" w:rsidP="004444B7">
            <w:pPr>
              <w:spacing w:after="0" w:line="240" w:lineRule="auto"/>
              <w:jc w:val="center"/>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3,000</w:t>
            </w:r>
          </w:p>
        </w:tc>
        <w:tc>
          <w:tcPr>
            <w:tcW w:w="1275"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carriages</w:t>
            </w:r>
          </w:p>
        </w:tc>
        <w:tc>
          <w:tcPr>
            <w:tcW w:w="4536"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BR, Master Plan, chapter 9</w:t>
            </w:r>
          </w:p>
        </w:tc>
      </w:tr>
    </w:tbl>
    <w:p w:rsidR="004444B7" w:rsidRDefault="004444B7" w:rsidP="004444B7"/>
    <w:p w:rsidR="004444B7" w:rsidRDefault="004444B7" w:rsidP="004444B7">
      <w:pPr>
        <w:pStyle w:val="Heading2"/>
      </w:pPr>
      <w:bookmarkStart w:id="47" w:name="_Toc466207373"/>
      <w:r>
        <w:t>A</w:t>
      </w:r>
      <w:r w:rsidR="004317A6">
        <w:t>1.</w:t>
      </w:r>
      <w:r>
        <w:t>10: Indirect Emissions Vehicle Manufacturing 2030</w:t>
      </w:r>
      <w:bookmarkEnd w:id="47"/>
    </w:p>
    <w:tbl>
      <w:tblPr>
        <w:tblW w:w="6340"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3700"/>
        <w:gridCol w:w="1220"/>
        <w:gridCol w:w="1420"/>
      </w:tblGrid>
      <w:tr w:rsidR="004444B7" w:rsidRPr="004444B7" w:rsidTr="004444B7">
        <w:trPr>
          <w:trHeight w:val="288"/>
        </w:trPr>
        <w:tc>
          <w:tcPr>
            <w:tcW w:w="3700" w:type="dxa"/>
            <w:shd w:val="clear" w:color="000000" w:fill="DDEBF7"/>
            <w:vAlign w:val="center"/>
            <w:hideMark/>
          </w:tcPr>
          <w:p w:rsidR="004444B7" w:rsidRPr="004444B7" w:rsidRDefault="004444B7" w:rsidP="004444B7">
            <w:pPr>
              <w:spacing w:after="0" w:line="240" w:lineRule="auto"/>
              <w:rPr>
                <w:rFonts w:ascii="Calibri" w:eastAsia="Times New Roman" w:hAnsi="Calibri" w:cs="Times New Roman"/>
                <w:b/>
                <w:bCs/>
                <w:color w:val="000000"/>
                <w:sz w:val="20"/>
                <w:lang w:eastAsia="en-GB"/>
              </w:rPr>
            </w:pPr>
            <w:r w:rsidRPr="004444B7">
              <w:rPr>
                <w:rFonts w:ascii="Calibri" w:eastAsia="Times New Roman" w:hAnsi="Calibri" w:cs="Times New Roman"/>
                <w:b/>
                <w:bCs/>
                <w:color w:val="000000"/>
                <w:sz w:val="20"/>
                <w:lang w:eastAsia="en-GB"/>
              </w:rPr>
              <w:t>Parameter</w:t>
            </w:r>
          </w:p>
        </w:tc>
        <w:tc>
          <w:tcPr>
            <w:tcW w:w="1220" w:type="dxa"/>
            <w:shd w:val="clear" w:color="000000" w:fill="DDEBF7"/>
            <w:vAlign w:val="center"/>
            <w:hideMark/>
          </w:tcPr>
          <w:p w:rsidR="004444B7" w:rsidRPr="004444B7" w:rsidRDefault="004444B7" w:rsidP="004444B7">
            <w:pPr>
              <w:spacing w:after="0" w:line="240" w:lineRule="auto"/>
              <w:jc w:val="center"/>
              <w:rPr>
                <w:rFonts w:ascii="Calibri" w:eastAsia="Times New Roman" w:hAnsi="Calibri" w:cs="Times New Roman"/>
                <w:b/>
                <w:bCs/>
                <w:color w:val="000000"/>
                <w:sz w:val="20"/>
                <w:lang w:eastAsia="en-GB"/>
              </w:rPr>
            </w:pPr>
            <w:r w:rsidRPr="004444B7">
              <w:rPr>
                <w:rFonts w:ascii="Calibri" w:eastAsia="Times New Roman" w:hAnsi="Calibri" w:cs="Times New Roman"/>
                <w:b/>
                <w:bCs/>
                <w:color w:val="000000"/>
                <w:sz w:val="20"/>
                <w:lang w:eastAsia="en-GB"/>
              </w:rPr>
              <w:t>Value</w:t>
            </w:r>
          </w:p>
        </w:tc>
        <w:tc>
          <w:tcPr>
            <w:tcW w:w="1420" w:type="dxa"/>
            <w:shd w:val="clear" w:color="000000" w:fill="DDEBF7"/>
            <w:noWrap/>
            <w:vAlign w:val="bottom"/>
            <w:hideMark/>
          </w:tcPr>
          <w:p w:rsidR="004444B7" w:rsidRPr="004444B7" w:rsidRDefault="004444B7" w:rsidP="004444B7">
            <w:pPr>
              <w:spacing w:after="0" w:line="240" w:lineRule="auto"/>
              <w:rPr>
                <w:rFonts w:ascii="Calibri" w:eastAsia="Times New Roman" w:hAnsi="Calibri" w:cs="Times New Roman"/>
                <w:b/>
                <w:bCs/>
                <w:color w:val="000000"/>
                <w:sz w:val="20"/>
                <w:lang w:eastAsia="en-GB"/>
              </w:rPr>
            </w:pPr>
            <w:r w:rsidRPr="004444B7">
              <w:rPr>
                <w:rFonts w:ascii="Calibri" w:eastAsia="Times New Roman" w:hAnsi="Calibri" w:cs="Times New Roman"/>
                <w:b/>
                <w:bCs/>
                <w:color w:val="000000"/>
                <w:sz w:val="20"/>
                <w:lang w:eastAsia="en-GB"/>
              </w:rPr>
              <w:t>Unit</w:t>
            </w:r>
          </w:p>
        </w:tc>
      </w:tr>
      <w:tr w:rsidR="004444B7" w:rsidRPr="004444B7" w:rsidTr="004444B7">
        <w:trPr>
          <w:trHeight w:val="336"/>
        </w:trPr>
        <w:tc>
          <w:tcPr>
            <w:tcW w:w="3700"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Additional GHG due to road vehicles</w:t>
            </w:r>
          </w:p>
        </w:tc>
        <w:tc>
          <w:tcPr>
            <w:tcW w:w="1220" w:type="dxa"/>
            <w:shd w:val="clear" w:color="auto" w:fill="auto"/>
            <w:noWrap/>
            <w:vAlign w:val="bottom"/>
            <w:hideMark/>
          </w:tcPr>
          <w:p w:rsidR="004444B7" w:rsidRPr="004444B7" w:rsidRDefault="004444B7" w:rsidP="004444B7">
            <w:pPr>
              <w:spacing w:after="0" w:line="240" w:lineRule="auto"/>
              <w:jc w:val="center"/>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15,580</w:t>
            </w:r>
          </w:p>
        </w:tc>
        <w:tc>
          <w:tcPr>
            <w:tcW w:w="1420"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tCO</w:t>
            </w:r>
            <w:r w:rsidRPr="004444B7">
              <w:rPr>
                <w:rFonts w:ascii="Calibri" w:eastAsia="Times New Roman" w:hAnsi="Calibri" w:cs="Times New Roman"/>
                <w:color w:val="000000"/>
                <w:sz w:val="20"/>
                <w:vertAlign w:val="subscript"/>
                <w:lang w:eastAsia="en-GB"/>
              </w:rPr>
              <w:t>2e</w:t>
            </w:r>
            <w:r w:rsidRPr="004444B7">
              <w:rPr>
                <w:rFonts w:ascii="Calibri" w:eastAsia="Times New Roman" w:hAnsi="Calibri" w:cs="Times New Roman"/>
                <w:color w:val="000000"/>
                <w:sz w:val="20"/>
                <w:lang w:eastAsia="en-GB"/>
              </w:rPr>
              <w:t>/a</w:t>
            </w:r>
          </w:p>
        </w:tc>
      </w:tr>
      <w:tr w:rsidR="004444B7" w:rsidRPr="004444B7" w:rsidTr="004444B7">
        <w:trPr>
          <w:trHeight w:val="336"/>
        </w:trPr>
        <w:tc>
          <w:tcPr>
            <w:tcW w:w="3700"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Additional GHG due to rail vehicles</w:t>
            </w:r>
          </w:p>
        </w:tc>
        <w:tc>
          <w:tcPr>
            <w:tcW w:w="1220" w:type="dxa"/>
            <w:shd w:val="clear" w:color="auto" w:fill="auto"/>
            <w:noWrap/>
            <w:vAlign w:val="bottom"/>
            <w:hideMark/>
          </w:tcPr>
          <w:p w:rsidR="004444B7" w:rsidRPr="004444B7" w:rsidRDefault="004444B7" w:rsidP="004444B7">
            <w:pPr>
              <w:spacing w:after="0" w:line="240" w:lineRule="auto"/>
              <w:jc w:val="center"/>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4,680</w:t>
            </w:r>
          </w:p>
        </w:tc>
        <w:tc>
          <w:tcPr>
            <w:tcW w:w="1420" w:type="dxa"/>
            <w:shd w:val="clear" w:color="auto" w:fill="auto"/>
            <w:noWrap/>
            <w:vAlign w:val="bottom"/>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tCO</w:t>
            </w:r>
            <w:r w:rsidRPr="004444B7">
              <w:rPr>
                <w:rFonts w:ascii="Calibri" w:eastAsia="Times New Roman" w:hAnsi="Calibri" w:cs="Times New Roman"/>
                <w:color w:val="000000"/>
                <w:sz w:val="20"/>
                <w:vertAlign w:val="subscript"/>
                <w:lang w:eastAsia="en-GB"/>
              </w:rPr>
              <w:t>2e</w:t>
            </w:r>
            <w:r w:rsidRPr="004444B7">
              <w:rPr>
                <w:rFonts w:ascii="Calibri" w:eastAsia="Times New Roman" w:hAnsi="Calibri" w:cs="Times New Roman"/>
                <w:color w:val="000000"/>
                <w:sz w:val="20"/>
                <w:lang w:eastAsia="en-GB"/>
              </w:rPr>
              <w:t>/a</w:t>
            </w:r>
          </w:p>
        </w:tc>
      </w:tr>
    </w:tbl>
    <w:p w:rsidR="004444B7" w:rsidRDefault="004444B7" w:rsidP="004444B7"/>
    <w:p w:rsidR="004444B7" w:rsidRDefault="004444B7" w:rsidP="004444B7">
      <w:pPr>
        <w:pStyle w:val="Heading2"/>
      </w:pPr>
      <w:bookmarkStart w:id="48" w:name="_Toc466207374"/>
      <w:r>
        <w:t>A</w:t>
      </w:r>
      <w:r w:rsidR="004317A6">
        <w:t>1.</w:t>
      </w:r>
      <w:r>
        <w:t>11: SD Impact on Fuel Savings</w:t>
      </w:r>
      <w:bookmarkEnd w:id="48"/>
    </w:p>
    <w:p w:rsidR="004444B7" w:rsidRPr="004444B7" w:rsidRDefault="004444B7" w:rsidP="004444B7">
      <w:r w:rsidRPr="004444B7">
        <w:rPr>
          <w:noProof/>
          <w:lang w:eastAsia="en-GB"/>
        </w:rPr>
        <w:drawing>
          <wp:inline distT="0" distB="0" distL="0" distR="0" wp14:anchorId="3EFF6833" wp14:editId="674D537A">
            <wp:extent cx="8863330" cy="494257"/>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863330" cy="494257"/>
                    </a:xfrm>
                    <a:prstGeom prst="rect">
                      <a:avLst/>
                    </a:prstGeom>
                    <a:noFill/>
                    <a:ln>
                      <a:noFill/>
                    </a:ln>
                  </pic:spPr>
                </pic:pic>
              </a:graphicData>
            </a:graphic>
          </wp:inline>
        </w:drawing>
      </w:r>
    </w:p>
    <w:p w:rsidR="004444B7" w:rsidRDefault="004444B7" w:rsidP="004444B7">
      <w:pPr>
        <w:pStyle w:val="Heading2"/>
      </w:pPr>
    </w:p>
    <w:p w:rsidR="004444B7" w:rsidRDefault="004444B7" w:rsidP="001A7E26">
      <w:pPr>
        <w:pStyle w:val="Heading2"/>
      </w:pPr>
      <w:bookmarkStart w:id="49" w:name="_Toc466207375"/>
      <w:r>
        <w:t>A1</w:t>
      </w:r>
      <w:r w:rsidR="004317A6">
        <w:t>.1</w:t>
      </w:r>
      <w:r>
        <w:t>2: SD Impact on Transportation Fatalities and Accidents</w:t>
      </w:r>
      <w:bookmarkEnd w:id="49"/>
    </w:p>
    <w:p w:rsidR="001A7E26" w:rsidRPr="001A7E26" w:rsidRDefault="001A7E26" w:rsidP="001A7E26">
      <w:r w:rsidRPr="001A7E26">
        <w:rPr>
          <w:noProof/>
          <w:lang w:eastAsia="en-GB"/>
        </w:rPr>
        <w:drawing>
          <wp:inline distT="0" distB="0" distL="0" distR="0" wp14:anchorId="1C885F31" wp14:editId="36B8958C">
            <wp:extent cx="8863330" cy="740105"/>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863330" cy="740105"/>
                    </a:xfrm>
                    <a:prstGeom prst="rect">
                      <a:avLst/>
                    </a:prstGeom>
                    <a:noFill/>
                    <a:ln>
                      <a:noFill/>
                    </a:ln>
                  </pic:spPr>
                </pic:pic>
              </a:graphicData>
            </a:graphic>
          </wp:inline>
        </w:drawing>
      </w:r>
    </w:p>
    <w:p w:rsidR="004444B7" w:rsidRDefault="004444B7" w:rsidP="004444B7">
      <w:pPr>
        <w:pStyle w:val="Heading2"/>
      </w:pPr>
      <w:bookmarkStart w:id="50" w:name="_Toc466207376"/>
      <w:r>
        <w:t>A1</w:t>
      </w:r>
      <w:r w:rsidR="004317A6">
        <w:t>.1</w:t>
      </w:r>
      <w:r>
        <w:t>3: SD Impact on Air Pollution</w:t>
      </w:r>
      <w:bookmarkEnd w:id="50"/>
    </w:p>
    <w:p w:rsidR="004444B7" w:rsidRDefault="004444B7" w:rsidP="004444B7">
      <w:r w:rsidRPr="004444B7">
        <w:rPr>
          <w:noProof/>
          <w:lang w:eastAsia="en-GB"/>
        </w:rPr>
        <w:drawing>
          <wp:inline distT="0" distB="0" distL="0" distR="0" wp14:anchorId="624DDEEB" wp14:editId="606DCD03">
            <wp:extent cx="8863330" cy="61718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8863330" cy="617181"/>
                    </a:xfrm>
                    <a:prstGeom prst="rect">
                      <a:avLst/>
                    </a:prstGeom>
                    <a:noFill/>
                    <a:ln>
                      <a:noFill/>
                    </a:ln>
                  </pic:spPr>
                </pic:pic>
              </a:graphicData>
            </a:graphic>
          </wp:inline>
        </w:drawing>
      </w:r>
    </w:p>
    <w:p w:rsidR="004444B7" w:rsidRDefault="004444B7" w:rsidP="004444B7">
      <w:pPr>
        <w:pStyle w:val="Heading2"/>
      </w:pPr>
      <w:bookmarkStart w:id="51" w:name="_Toc466207377"/>
      <w:r>
        <w:t>A1</w:t>
      </w:r>
      <w:r w:rsidR="004317A6">
        <w:t>.1</w:t>
      </w:r>
      <w:r>
        <w:t>4: Cumulative SD Impact</w:t>
      </w:r>
      <w:bookmarkEnd w:id="51"/>
    </w:p>
    <w:tbl>
      <w:tblPr>
        <w:tblW w:w="654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4100"/>
        <w:gridCol w:w="1180"/>
        <w:gridCol w:w="1260"/>
      </w:tblGrid>
      <w:tr w:rsidR="004444B7" w:rsidRPr="004444B7" w:rsidTr="004444B7">
        <w:trPr>
          <w:trHeight w:val="288"/>
        </w:trPr>
        <w:tc>
          <w:tcPr>
            <w:tcW w:w="4100" w:type="dxa"/>
            <w:shd w:val="clear" w:color="000000" w:fill="DDEBF7"/>
            <w:vAlign w:val="center"/>
            <w:hideMark/>
          </w:tcPr>
          <w:p w:rsidR="004444B7" w:rsidRPr="004444B7" w:rsidRDefault="004444B7" w:rsidP="004444B7">
            <w:pPr>
              <w:spacing w:after="0" w:line="240" w:lineRule="auto"/>
              <w:rPr>
                <w:rFonts w:ascii="Calibri" w:eastAsia="Times New Roman" w:hAnsi="Calibri" w:cs="Times New Roman"/>
                <w:b/>
                <w:bCs/>
                <w:color w:val="000000"/>
                <w:sz w:val="20"/>
                <w:lang w:eastAsia="en-GB"/>
              </w:rPr>
            </w:pPr>
            <w:r w:rsidRPr="004444B7">
              <w:rPr>
                <w:rFonts w:ascii="Calibri" w:eastAsia="Times New Roman" w:hAnsi="Calibri" w:cs="Times New Roman"/>
                <w:b/>
                <w:bCs/>
                <w:color w:val="000000"/>
                <w:sz w:val="20"/>
                <w:lang w:eastAsia="en-GB"/>
              </w:rPr>
              <w:t>Parameter</w:t>
            </w:r>
          </w:p>
        </w:tc>
        <w:tc>
          <w:tcPr>
            <w:tcW w:w="1180" w:type="dxa"/>
            <w:shd w:val="clear" w:color="000000" w:fill="DDEBF7"/>
            <w:vAlign w:val="center"/>
            <w:hideMark/>
          </w:tcPr>
          <w:p w:rsidR="004444B7" w:rsidRPr="004444B7" w:rsidRDefault="004444B7" w:rsidP="004444B7">
            <w:pPr>
              <w:spacing w:after="0" w:line="240" w:lineRule="auto"/>
              <w:jc w:val="center"/>
              <w:rPr>
                <w:rFonts w:ascii="Calibri" w:eastAsia="Times New Roman" w:hAnsi="Calibri" w:cs="Times New Roman"/>
                <w:b/>
                <w:bCs/>
                <w:color w:val="000000"/>
                <w:sz w:val="20"/>
                <w:lang w:eastAsia="en-GB"/>
              </w:rPr>
            </w:pPr>
            <w:r w:rsidRPr="004444B7">
              <w:rPr>
                <w:rFonts w:ascii="Calibri" w:eastAsia="Times New Roman" w:hAnsi="Calibri" w:cs="Times New Roman"/>
                <w:b/>
                <w:bCs/>
                <w:color w:val="000000"/>
                <w:sz w:val="20"/>
                <w:lang w:eastAsia="en-GB"/>
              </w:rPr>
              <w:t xml:space="preserve">Impact </w:t>
            </w:r>
          </w:p>
        </w:tc>
        <w:tc>
          <w:tcPr>
            <w:tcW w:w="1260" w:type="dxa"/>
            <w:shd w:val="clear" w:color="000000" w:fill="DDEBF7"/>
            <w:noWrap/>
            <w:vAlign w:val="bottom"/>
            <w:hideMark/>
          </w:tcPr>
          <w:p w:rsidR="004444B7" w:rsidRPr="004444B7" w:rsidRDefault="004444B7" w:rsidP="004444B7">
            <w:pPr>
              <w:spacing w:after="0" w:line="240" w:lineRule="auto"/>
              <w:jc w:val="center"/>
              <w:rPr>
                <w:rFonts w:ascii="Calibri" w:eastAsia="Times New Roman" w:hAnsi="Calibri" w:cs="Times New Roman"/>
                <w:b/>
                <w:bCs/>
                <w:color w:val="000000"/>
                <w:sz w:val="20"/>
                <w:lang w:eastAsia="en-GB"/>
              </w:rPr>
            </w:pPr>
            <w:r w:rsidRPr="004444B7">
              <w:rPr>
                <w:rFonts w:ascii="Calibri" w:eastAsia="Times New Roman" w:hAnsi="Calibri" w:cs="Times New Roman"/>
                <w:b/>
                <w:bCs/>
                <w:color w:val="000000"/>
                <w:sz w:val="20"/>
                <w:lang w:eastAsia="en-GB"/>
              </w:rPr>
              <w:t>Unit</w:t>
            </w:r>
          </w:p>
        </w:tc>
      </w:tr>
      <w:tr w:rsidR="004444B7" w:rsidRPr="004444B7" w:rsidTr="004444B7">
        <w:trPr>
          <w:trHeight w:val="288"/>
        </w:trPr>
        <w:tc>
          <w:tcPr>
            <w:tcW w:w="4100" w:type="dxa"/>
            <w:shd w:val="clear" w:color="auto" w:fill="auto"/>
            <w:vAlign w:val="center"/>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Diesel fuel savings</w:t>
            </w:r>
          </w:p>
        </w:tc>
        <w:tc>
          <w:tcPr>
            <w:tcW w:w="1180" w:type="dxa"/>
            <w:shd w:val="clear" w:color="auto" w:fill="auto"/>
            <w:vAlign w:val="center"/>
            <w:hideMark/>
          </w:tcPr>
          <w:p w:rsidR="004444B7" w:rsidRPr="004444B7" w:rsidRDefault="004444B7" w:rsidP="004444B7">
            <w:pPr>
              <w:spacing w:after="0" w:line="240" w:lineRule="auto"/>
              <w:jc w:val="center"/>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753</w:t>
            </w:r>
          </w:p>
        </w:tc>
        <w:tc>
          <w:tcPr>
            <w:tcW w:w="1260" w:type="dxa"/>
            <w:shd w:val="clear" w:color="auto" w:fill="auto"/>
            <w:noWrap/>
            <w:vAlign w:val="bottom"/>
            <w:hideMark/>
          </w:tcPr>
          <w:p w:rsidR="004444B7" w:rsidRPr="004444B7" w:rsidRDefault="00932907" w:rsidP="004444B7">
            <w:pPr>
              <w:spacing w:after="0" w:line="240" w:lineRule="auto"/>
              <w:jc w:val="center"/>
              <w:rPr>
                <w:rFonts w:ascii="Calibri" w:eastAsia="Times New Roman" w:hAnsi="Calibri" w:cs="Times New Roman"/>
                <w:color w:val="000000"/>
                <w:sz w:val="20"/>
                <w:lang w:eastAsia="en-GB"/>
              </w:rPr>
            </w:pPr>
            <w:r>
              <w:rPr>
                <w:rFonts w:ascii="Calibri" w:eastAsia="Times New Roman" w:hAnsi="Calibri" w:cs="Times New Roman"/>
                <w:color w:val="000000"/>
                <w:sz w:val="20"/>
                <w:lang w:eastAsia="en-GB"/>
              </w:rPr>
              <w:t>million lit</w:t>
            </w:r>
            <w:r w:rsidR="004444B7" w:rsidRPr="004444B7">
              <w:rPr>
                <w:rFonts w:ascii="Calibri" w:eastAsia="Times New Roman" w:hAnsi="Calibri" w:cs="Times New Roman"/>
                <w:color w:val="000000"/>
                <w:sz w:val="20"/>
                <w:lang w:eastAsia="en-GB"/>
              </w:rPr>
              <w:t>r</w:t>
            </w:r>
            <w:r>
              <w:rPr>
                <w:rFonts w:ascii="Calibri" w:eastAsia="Times New Roman" w:hAnsi="Calibri" w:cs="Times New Roman"/>
                <w:color w:val="000000"/>
                <w:sz w:val="20"/>
                <w:lang w:eastAsia="en-GB"/>
              </w:rPr>
              <w:t>e</w:t>
            </w:r>
            <w:r w:rsidR="004444B7" w:rsidRPr="004444B7">
              <w:rPr>
                <w:rFonts w:ascii="Calibri" w:eastAsia="Times New Roman" w:hAnsi="Calibri" w:cs="Times New Roman"/>
                <w:color w:val="000000"/>
                <w:sz w:val="20"/>
                <w:lang w:eastAsia="en-GB"/>
              </w:rPr>
              <w:t>s</w:t>
            </w:r>
          </w:p>
        </w:tc>
      </w:tr>
      <w:tr w:rsidR="004444B7" w:rsidRPr="004444B7" w:rsidTr="004444B7">
        <w:trPr>
          <w:trHeight w:val="288"/>
        </w:trPr>
        <w:tc>
          <w:tcPr>
            <w:tcW w:w="4100" w:type="dxa"/>
            <w:shd w:val="clear" w:color="auto" w:fill="auto"/>
            <w:vAlign w:val="center"/>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Reduction of traffic accident fatalities</w:t>
            </w:r>
          </w:p>
        </w:tc>
        <w:tc>
          <w:tcPr>
            <w:tcW w:w="1180" w:type="dxa"/>
            <w:shd w:val="clear" w:color="auto" w:fill="auto"/>
            <w:vAlign w:val="center"/>
            <w:hideMark/>
          </w:tcPr>
          <w:p w:rsidR="004444B7" w:rsidRPr="004444B7" w:rsidRDefault="004444B7" w:rsidP="004444B7">
            <w:pPr>
              <w:spacing w:after="0" w:line="240" w:lineRule="auto"/>
              <w:jc w:val="center"/>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55</w:t>
            </w:r>
          </w:p>
        </w:tc>
        <w:tc>
          <w:tcPr>
            <w:tcW w:w="1260" w:type="dxa"/>
            <w:shd w:val="clear" w:color="auto" w:fill="auto"/>
            <w:noWrap/>
            <w:vAlign w:val="bottom"/>
            <w:hideMark/>
          </w:tcPr>
          <w:p w:rsidR="004444B7" w:rsidRPr="004444B7" w:rsidRDefault="00932907" w:rsidP="004444B7">
            <w:pPr>
              <w:spacing w:after="0" w:line="240" w:lineRule="auto"/>
              <w:jc w:val="center"/>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P</w:t>
            </w:r>
            <w:r w:rsidR="004444B7" w:rsidRPr="004444B7">
              <w:rPr>
                <w:rFonts w:ascii="Calibri" w:eastAsia="Times New Roman" w:hAnsi="Calibri" w:cs="Times New Roman"/>
                <w:color w:val="000000"/>
                <w:sz w:val="20"/>
                <w:lang w:eastAsia="en-GB"/>
              </w:rPr>
              <w:t>ersons</w:t>
            </w:r>
          </w:p>
        </w:tc>
      </w:tr>
      <w:tr w:rsidR="004444B7" w:rsidRPr="004444B7" w:rsidTr="004444B7">
        <w:trPr>
          <w:trHeight w:val="288"/>
        </w:trPr>
        <w:tc>
          <w:tcPr>
            <w:tcW w:w="4100" w:type="dxa"/>
            <w:shd w:val="clear" w:color="auto" w:fill="auto"/>
            <w:vAlign w:val="center"/>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 xml:space="preserve">PM reduction </w:t>
            </w:r>
          </w:p>
        </w:tc>
        <w:tc>
          <w:tcPr>
            <w:tcW w:w="1180" w:type="dxa"/>
            <w:shd w:val="clear" w:color="auto" w:fill="auto"/>
            <w:vAlign w:val="center"/>
            <w:hideMark/>
          </w:tcPr>
          <w:p w:rsidR="004444B7" w:rsidRPr="004444B7" w:rsidRDefault="004444B7" w:rsidP="004444B7">
            <w:pPr>
              <w:spacing w:after="0" w:line="240" w:lineRule="auto"/>
              <w:jc w:val="center"/>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848</w:t>
            </w:r>
          </w:p>
        </w:tc>
        <w:tc>
          <w:tcPr>
            <w:tcW w:w="1260" w:type="dxa"/>
            <w:shd w:val="clear" w:color="auto" w:fill="auto"/>
            <w:noWrap/>
            <w:vAlign w:val="bottom"/>
            <w:hideMark/>
          </w:tcPr>
          <w:p w:rsidR="004444B7" w:rsidRPr="004444B7" w:rsidRDefault="00932907" w:rsidP="004444B7">
            <w:pPr>
              <w:spacing w:after="0" w:line="240" w:lineRule="auto"/>
              <w:jc w:val="center"/>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T</w:t>
            </w:r>
            <w:r w:rsidR="004444B7" w:rsidRPr="004444B7">
              <w:rPr>
                <w:rFonts w:ascii="Calibri" w:eastAsia="Times New Roman" w:hAnsi="Calibri" w:cs="Times New Roman"/>
                <w:color w:val="000000"/>
                <w:sz w:val="20"/>
                <w:lang w:eastAsia="en-GB"/>
              </w:rPr>
              <w:t>ons</w:t>
            </w:r>
          </w:p>
        </w:tc>
      </w:tr>
      <w:tr w:rsidR="004444B7" w:rsidRPr="004444B7" w:rsidTr="004444B7">
        <w:trPr>
          <w:trHeight w:val="336"/>
        </w:trPr>
        <w:tc>
          <w:tcPr>
            <w:tcW w:w="4100" w:type="dxa"/>
            <w:shd w:val="clear" w:color="auto" w:fill="auto"/>
            <w:vAlign w:val="center"/>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NO</w:t>
            </w:r>
            <w:r w:rsidRPr="004444B7">
              <w:rPr>
                <w:rFonts w:ascii="Calibri" w:eastAsia="Times New Roman" w:hAnsi="Calibri" w:cs="Times New Roman"/>
                <w:color w:val="000000"/>
                <w:sz w:val="20"/>
                <w:vertAlign w:val="subscript"/>
                <w:lang w:eastAsia="en-GB"/>
              </w:rPr>
              <w:t>x</w:t>
            </w:r>
            <w:r w:rsidRPr="004444B7">
              <w:rPr>
                <w:rFonts w:ascii="Calibri" w:eastAsia="Times New Roman" w:hAnsi="Calibri" w:cs="Times New Roman"/>
                <w:color w:val="000000"/>
                <w:sz w:val="20"/>
                <w:lang w:eastAsia="en-GB"/>
              </w:rPr>
              <w:t xml:space="preserve"> reduction</w:t>
            </w:r>
          </w:p>
        </w:tc>
        <w:tc>
          <w:tcPr>
            <w:tcW w:w="1180" w:type="dxa"/>
            <w:shd w:val="clear" w:color="auto" w:fill="auto"/>
            <w:vAlign w:val="center"/>
            <w:hideMark/>
          </w:tcPr>
          <w:p w:rsidR="004444B7" w:rsidRPr="004444B7" w:rsidRDefault="004444B7" w:rsidP="004444B7">
            <w:pPr>
              <w:spacing w:after="0" w:line="240" w:lineRule="auto"/>
              <w:jc w:val="center"/>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19,527</w:t>
            </w:r>
          </w:p>
        </w:tc>
        <w:tc>
          <w:tcPr>
            <w:tcW w:w="1260" w:type="dxa"/>
            <w:shd w:val="clear" w:color="auto" w:fill="auto"/>
            <w:noWrap/>
            <w:vAlign w:val="bottom"/>
            <w:hideMark/>
          </w:tcPr>
          <w:p w:rsidR="004444B7" w:rsidRPr="004444B7" w:rsidRDefault="00932907" w:rsidP="004444B7">
            <w:pPr>
              <w:spacing w:after="0" w:line="240" w:lineRule="auto"/>
              <w:jc w:val="center"/>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T</w:t>
            </w:r>
            <w:r w:rsidR="004444B7" w:rsidRPr="004444B7">
              <w:rPr>
                <w:rFonts w:ascii="Calibri" w:eastAsia="Times New Roman" w:hAnsi="Calibri" w:cs="Times New Roman"/>
                <w:color w:val="000000"/>
                <w:sz w:val="20"/>
                <w:lang w:eastAsia="en-GB"/>
              </w:rPr>
              <w:t>ons</w:t>
            </w:r>
          </w:p>
        </w:tc>
      </w:tr>
      <w:tr w:rsidR="004444B7" w:rsidRPr="004444B7" w:rsidTr="004444B7">
        <w:trPr>
          <w:trHeight w:val="288"/>
        </w:trPr>
        <w:tc>
          <w:tcPr>
            <w:tcW w:w="4100" w:type="dxa"/>
            <w:shd w:val="clear" w:color="auto" w:fill="auto"/>
            <w:vAlign w:val="center"/>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Monetary value of fuel savings</w:t>
            </w:r>
          </w:p>
        </w:tc>
        <w:tc>
          <w:tcPr>
            <w:tcW w:w="1180" w:type="dxa"/>
            <w:shd w:val="clear" w:color="auto" w:fill="auto"/>
            <w:vAlign w:val="center"/>
            <w:hideMark/>
          </w:tcPr>
          <w:p w:rsidR="004444B7" w:rsidRPr="004444B7" w:rsidRDefault="004444B7" w:rsidP="004444B7">
            <w:pPr>
              <w:spacing w:after="0" w:line="240" w:lineRule="auto"/>
              <w:jc w:val="center"/>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361</w:t>
            </w:r>
          </w:p>
        </w:tc>
        <w:tc>
          <w:tcPr>
            <w:tcW w:w="1260" w:type="dxa"/>
            <w:shd w:val="clear" w:color="auto" w:fill="auto"/>
            <w:noWrap/>
            <w:vAlign w:val="bottom"/>
            <w:hideMark/>
          </w:tcPr>
          <w:p w:rsidR="004444B7" w:rsidRPr="004444B7" w:rsidRDefault="004444B7" w:rsidP="004444B7">
            <w:pPr>
              <w:spacing w:after="0" w:line="240" w:lineRule="auto"/>
              <w:jc w:val="center"/>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MUSD</w:t>
            </w:r>
          </w:p>
        </w:tc>
      </w:tr>
      <w:tr w:rsidR="004444B7" w:rsidRPr="004444B7" w:rsidTr="004444B7">
        <w:trPr>
          <w:trHeight w:val="288"/>
        </w:trPr>
        <w:tc>
          <w:tcPr>
            <w:tcW w:w="4100" w:type="dxa"/>
            <w:shd w:val="clear" w:color="auto" w:fill="auto"/>
            <w:vAlign w:val="center"/>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Monetary value of reduced accidents</w:t>
            </w:r>
          </w:p>
        </w:tc>
        <w:tc>
          <w:tcPr>
            <w:tcW w:w="1180" w:type="dxa"/>
            <w:shd w:val="clear" w:color="auto" w:fill="auto"/>
            <w:vAlign w:val="center"/>
            <w:hideMark/>
          </w:tcPr>
          <w:p w:rsidR="004444B7" w:rsidRPr="004444B7" w:rsidRDefault="004444B7" w:rsidP="004444B7">
            <w:pPr>
              <w:spacing w:after="0" w:line="240" w:lineRule="auto"/>
              <w:jc w:val="center"/>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98</w:t>
            </w:r>
          </w:p>
        </w:tc>
        <w:tc>
          <w:tcPr>
            <w:tcW w:w="1260" w:type="dxa"/>
            <w:shd w:val="clear" w:color="auto" w:fill="auto"/>
            <w:noWrap/>
            <w:vAlign w:val="bottom"/>
            <w:hideMark/>
          </w:tcPr>
          <w:p w:rsidR="004444B7" w:rsidRPr="004444B7" w:rsidRDefault="004444B7" w:rsidP="004444B7">
            <w:pPr>
              <w:spacing w:after="0" w:line="240" w:lineRule="auto"/>
              <w:jc w:val="center"/>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MUSD</w:t>
            </w:r>
          </w:p>
        </w:tc>
      </w:tr>
      <w:tr w:rsidR="004444B7" w:rsidRPr="004444B7" w:rsidTr="004444B7">
        <w:trPr>
          <w:trHeight w:val="288"/>
        </w:trPr>
        <w:tc>
          <w:tcPr>
            <w:tcW w:w="4100" w:type="dxa"/>
            <w:shd w:val="clear" w:color="auto" w:fill="auto"/>
            <w:vAlign w:val="center"/>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Monetary value of PM &amp; NOx reductions</w:t>
            </w:r>
          </w:p>
        </w:tc>
        <w:tc>
          <w:tcPr>
            <w:tcW w:w="1180" w:type="dxa"/>
            <w:shd w:val="clear" w:color="auto" w:fill="auto"/>
            <w:vAlign w:val="center"/>
            <w:hideMark/>
          </w:tcPr>
          <w:p w:rsidR="004444B7" w:rsidRPr="004444B7" w:rsidRDefault="004444B7" w:rsidP="004444B7">
            <w:pPr>
              <w:spacing w:after="0" w:line="240" w:lineRule="auto"/>
              <w:jc w:val="center"/>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51</w:t>
            </w:r>
          </w:p>
        </w:tc>
        <w:tc>
          <w:tcPr>
            <w:tcW w:w="1260" w:type="dxa"/>
            <w:shd w:val="clear" w:color="auto" w:fill="auto"/>
            <w:noWrap/>
            <w:vAlign w:val="bottom"/>
            <w:hideMark/>
          </w:tcPr>
          <w:p w:rsidR="004444B7" w:rsidRPr="004444B7" w:rsidRDefault="004444B7" w:rsidP="004444B7">
            <w:pPr>
              <w:spacing w:after="0" w:line="240" w:lineRule="auto"/>
              <w:jc w:val="center"/>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MUSD</w:t>
            </w:r>
          </w:p>
        </w:tc>
      </w:tr>
      <w:tr w:rsidR="004444B7" w:rsidRPr="004444B7" w:rsidTr="004444B7">
        <w:trPr>
          <w:trHeight w:val="288"/>
        </w:trPr>
        <w:tc>
          <w:tcPr>
            <w:tcW w:w="4100" w:type="dxa"/>
            <w:shd w:val="clear" w:color="auto" w:fill="auto"/>
            <w:vAlign w:val="center"/>
            <w:hideMark/>
          </w:tcPr>
          <w:p w:rsidR="004444B7" w:rsidRPr="004444B7" w:rsidRDefault="004444B7" w:rsidP="004444B7">
            <w:pPr>
              <w:spacing w:after="0" w:line="240" w:lineRule="auto"/>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Monetary value total</w:t>
            </w:r>
          </w:p>
        </w:tc>
        <w:tc>
          <w:tcPr>
            <w:tcW w:w="1180" w:type="dxa"/>
            <w:shd w:val="clear" w:color="auto" w:fill="auto"/>
            <w:vAlign w:val="center"/>
            <w:hideMark/>
          </w:tcPr>
          <w:p w:rsidR="004444B7" w:rsidRPr="004444B7" w:rsidRDefault="004444B7" w:rsidP="004444B7">
            <w:pPr>
              <w:spacing w:after="0" w:line="240" w:lineRule="auto"/>
              <w:jc w:val="center"/>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511</w:t>
            </w:r>
          </w:p>
        </w:tc>
        <w:tc>
          <w:tcPr>
            <w:tcW w:w="1260" w:type="dxa"/>
            <w:shd w:val="clear" w:color="auto" w:fill="auto"/>
            <w:noWrap/>
            <w:vAlign w:val="bottom"/>
            <w:hideMark/>
          </w:tcPr>
          <w:p w:rsidR="004444B7" w:rsidRPr="004444B7" w:rsidRDefault="004444B7" w:rsidP="004444B7">
            <w:pPr>
              <w:spacing w:after="0" w:line="240" w:lineRule="auto"/>
              <w:jc w:val="center"/>
              <w:rPr>
                <w:rFonts w:ascii="Calibri" w:eastAsia="Times New Roman" w:hAnsi="Calibri" w:cs="Times New Roman"/>
                <w:color w:val="000000"/>
                <w:sz w:val="20"/>
                <w:lang w:eastAsia="en-GB"/>
              </w:rPr>
            </w:pPr>
            <w:r w:rsidRPr="004444B7">
              <w:rPr>
                <w:rFonts w:ascii="Calibri" w:eastAsia="Times New Roman" w:hAnsi="Calibri" w:cs="Times New Roman"/>
                <w:color w:val="000000"/>
                <w:sz w:val="20"/>
                <w:lang w:eastAsia="en-GB"/>
              </w:rPr>
              <w:t>MUSD</w:t>
            </w:r>
          </w:p>
        </w:tc>
      </w:tr>
    </w:tbl>
    <w:p w:rsidR="004444B7" w:rsidRPr="004444B7" w:rsidRDefault="004444B7" w:rsidP="004444B7"/>
    <w:p w:rsidR="004444B7" w:rsidRDefault="004444B7" w:rsidP="00A434D0">
      <w:pPr>
        <w:pStyle w:val="Heading1"/>
        <w:sectPr w:rsidR="004444B7" w:rsidSect="000A2B2A">
          <w:pgSz w:w="16838" w:h="11906" w:orient="landscape"/>
          <w:pgMar w:top="1440" w:right="1440" w:bottom="1440" w:left="1440" w:header="709" w:footer="709" w:gutter="0"/>
          <w:cols w:space="708"/>
          <w:docGrid w:linePitch="360"/>
        </w:sectPr>
      </w:pPr>
    </w:p>
    <w:p w:rsidR="00A434D0" w:rsidRPr="00A434D0" w:rsidRDefault="00A434D0" w:rsidP="00A434D0">
      <w:pPr>
        <w:pStyle w:val="Heading1"/>
      </w:pPr>
      <w:bookmarkStart w:id="52" w:name="_Toc466207378"/>
      <w:r>
        <w:lastRenderedPageBreak/>
        <w:t>Annex 2: MRV Parameters</w:t>
      </w:r>
      <w:bookmarkEnd w:id="52"/>
    </w:p>
    <w:p w:rsidR="004A02F2" w:rsidRDefault="004317A6" w:rsidP="004317A6">
      <w:pPr>
        <w:pStyle w:val="Heading2"/>
      </w:pPr>
      <w:bookmarkStart w:id="53" w:name="_Toc466207379"/>
      <w:r>
        <w:t>A2.1. Result Indicators</w:t>
      </w:r>
      <w:bookmarkEnd w:id="53"/>
    </w:p>
    <w:p w:rsidR="004317A6" w:rsidRDefault="004317A6" w:rsidP="004317A6"/>
    <w:p w:rsidR="004317A6" w:rsidRDefault="004317A6" w:rsidP="004317A6">
      <w:pPr>
        <w:jc w:val="both"/>
      </w:pPr>
      <w:r>
        <w:t>Result indicators are calculated and not measured. The following tables give the definitions and the calculation methods. The parameters used to calculate th</w:t>
      </w:r>
      <w:r w:rsidR="00294A18">
        <w:t>e indicators are detailed in A2.2. and A2</w:t>
      </w:r>
      <w:r>
        <w:t>.3.</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188"/>
        <w:gridCol w:w="6808"/>
      </w:tblGrid>
      <w:tr w:rsidR="004317A6" w:rsidTr="00EF5E0F">
        <w:tc>
          <w:tcPr>
            <w:tcW w:w="2235" w:type="dxa"/>
            <w:shd w:val="clear" w:color="auto" w:fill="C6D9F1"/>
          </w:tcPr>
          <w:p w:rsidR="004317A6" w:rsidRPr="00591362" w:rsidRDefault="004317A6" w:rsidP="00EF5E0F">
            <w:pPr>
              <w:pStyle w:val="NoSpacing"/>
              <w:rPr>
                <w:b/>
                <w:sz w:val="20"/>
              </w:rPr>
            </w:pPr>
            <w:r>
              <w:rPr>
                <w:b/>
                <w:sz w:val="20"/>
              </w:rPr>
              <w:t>ID</w:t>
            </w:r>
          </w:p>
        </w:tc>
        <w:tc>
          <w:tcPr>
            <w:tcW w:w="7051" w:type="dxa"/>
            <w:shd w:val="clear" w:color="auto" w:fill="auto"/>
          </w:tcPr>
          <w:p w:rsidR="004317A6" w:rsidRPr="00E05E85" w:rsidRDefault="004317A6" w:rsidP="00EF5E0F">
            <w:pPr>
              <w:pStyle w:val="NoSpacing"/>
              <w:rPr>
                <w:b/>
                <w:sz w:val="20"/>
              </w:rPr>
            </w:pPr>
            <w:r w:rsidRPr="00E05E85">
              <w:rPr>
                <w:b/>
                <w:sz w:val="20"/>
              </w:rPr>
              <w:t>R1</w:t>
            </w:r>
          </w:p>
        </w:tc>
      </w:tr>
      <w:tr w:rsidR="004317A6" w:rsidTr="00EF5E0F">
        <w:tc>
          <w:tcPr>
            <w:tcW w:w="2235" w:type="dxa"/>
            <w:shd w:val="clear" w:color="auto" w:fill="C6D9F1"/>
          </w:tcPr>
          <w:p w:rsidR="004317A6" w:rsidRPr="00591362" w:rsidRDefault="004317A6" w:rsidP="00EF5E0F">
            <w:pPr>
              <w:pStyle w:val="NoSpacing"/>
              <w:rPr>
                <w:b/>
                <w:sz w:val="20"/>
              </w:rPr>
            </w:pPr>
            <w:r w:rsidRPr="00591362">
              <w:rPr>
                <w:b/>
                <w:sz w:val="20"/>
              </w:rPr>
              <w:t>Indicator</w:t>
            </w:r>
          </w:p>
        </w:tc>
        <w:tc>
          <w:tcPr>
            <w:tcW w:w="7051" w:type="dxa"/>
            <w:shd w:val="clear" w:color="auto" w:fill="auto"/>
          </w:tcPr>
          <w:p w:rsidR="004317A6" w:rsidRPr="00591362" w:rsidRDefault="004317A6" w:rsidP="00EF5E0F">
            <w:pPr>
              <w:pStyle w:val="NoSpacing"/>
              <w:rPr>
                <w:sz w:val="20"/>
              </w:rPr>
            </w:pPr>
            <w:r w:rsidRPr="00591362">
              <w:rPr>
                <w:sz w:val="20"/>
              </w:rPr>
              <w:t>tCO</w:t>
            </w:r>
            <w:r w:rsidRPr="00591362">
              <w:rPr>
                <w:sz w:val="20"/>
                <w:vertAlign w:val="subscript"/>
              </w:rPr>
              <w:t>2e</w:t>
            </w:r>
          </w:p>
        </w:tc>
      </w:tr>
      <w:tr w:rsidR="004317A6" w:rsidTr="00EF5E0F">
        <w:tc>
          <w:tcPr>
            <w:tcW w:w="2235" w:type="dxa"/>
            <w:shd w:val="clear" w:color="auto" w:fill="C6D9F1"/>
          </w:tcPr>
          <w:p w:rsidR="004317A6" w:rsidRPr="00591362" w:rsidRDefault="004317A6" w:rsidP="00EF5E0F">
            <w:pPr>
              <w:pStyle w:val="NoSpacing"/>
              <w:rPr>
                <w:b/>
                <w:sz w:val="20"/>
              </w:rPr>
            </w:pPr>
            <w:r w:rsidRPr="00591362">
              <w:rPr>
                <w:b/>
                <w:sz w:val="20"/>
              </w:rPr>
              <w:t>Description</w:t>
            </w:r>
          </w:p>
        </w:tc>
        <w:tc>
          <w:tcPr>
            <w:tcW w:w="7051" w:type="dxa"/>
            <w:shd w:val="clear" w:color="auto" w:fill="auto"/>
          </w:tcPr>
          <w:p w:rsidR="004317A6" w:rsidRPr="00591362" w:rsidRDefault="004317A6" w:rsidP="00EF5E0F">
            <w:pPr>
              <w:pStyle w:val="NoSpacing"/>
              <w:rPr>
                <w:sz w:val="20"/>
              </w:rPr>
            </w:pPr>
            <w:r w:rsidRPr="00591362">
              <w:rPr>
                <w:sz w:val="20"/>
              </w:rPr>
              <w:t>GHG emissions in tCO</w:t>
            </w:r>
            <w:r w:rsidRPr="00591362">
              <w:rPr>
                <w:sz w:val="20"/>
                <w:vertAlign w:val="subscript"/>
              </w:rPr>
              <w:t>2e</w:t>
            </w:r>
          </w:p>
        </w:tc>
      </w:tr>
      <w:tr w:rsidR="004317A6" w:rsidTr="00EF5E0F">
        <w:tc>
          <w:tcPr>
            <w:tcW w:w="2235" w:type="dxa"/>
            <w:shd w:val="clear" w:color="auto" w:fill="C6D9F1"/>
          </w:tcPr>
          <w:p w:rsidR="004317A6" w:rsidRPr="00591362" w:rsidRDefault="004317A6" w:rsidP="00EF5E0F">
            <w:pPr>
              <w:pStyle w:val="NoSpacing"/>
              <w:rPr>
                <w:b/>
                <w:sz w:val="20"/>
              </w:rPr>
            </w:pPr>
            <w:r>
              <w:rPr>
                <w:b/>
                <w:sz w:val="20"/>
              </w:rPr>
              <w:t>C</w:t>
            </w:r>
            <w:r w:rsidRPr="00591362">
              <w:rPr>
                <w:b/>
                <w:sz w:val="20"/>
              </w:rPr>
              <w:t>alculation method</w:t>
            </w:r>
          </w:p>
        </w:tc>
        <w:tc>
          <w:tcPr>
            <w:tcW w:w="7051" w:type="dxa"/>
            <w:shd w:val="clear" w:color="auto" w:fill="auto"/>
          </w:tcPr>
          <w:p w:rsidR="004317A6" w:rsidRPr="00591362" w:rsidRDefault="004317A6" w:rsidP="00EF5E0F">
            <w:pPr>
              <w:pStyle w:val="NoSpacing"/>
              <w:rPr>
                <w:sz w:val="20"/>
              </w:rPr>
            </w:pPr>
            <w:r w:rsidRPr="00591362">
              <w:rPr>
                <w:sz w:val="20"/>
              </w:rPr>
              <w:t xml:space="preserve">The indicator is calculated as </w:t>
            </w:r>
            <w:r>
              <w:rPr>
                <w:sz w:val="20"/>
              </w:rPr>
              <w:t>Tank-to-Wheel (</w:t>
            </w:r>
            <w:r w:rsidRPr="00591362">
              <w:rPr>
                <w:sz w:val="20"/>
              </w:rPr>
              <w:t>TTW</w:t>
            </w:r>
            <w:r>
              <w:rPr>
                <w:sz w:val="20"/>
              </w:rPr>
              <w:t>)</w:t>
            </w:r>
            <w:r w:rsidRPr="00591362">
              <w:rPr>
                <w:sz w:val="20"/>
              </w:rPr>
              <w:t xml:space="preserve"> and as </w:t>
            </w:r>
            <w:r>
              <w:rPr>
                <w:sz w:val="20"/>
              </w:rPr>
              <w:t>Well-to-Wheel (</w:t>
            </w:r>
            <w:r w:rsidRPr="00591362">
              <w:rPr>
                <w:sz w:val="20"/>
              </w:rPr>
              <w:t>WTW</w:t>
            </w:r>
            <w:r>
              <w:rPr>
                <w:sz w:val="20"/>
              </w:rPr>
              <w:t>)</w:t>
            </w:r>
            <w:r w:rsidRPr="00591362">
              <w:rPr>
                <w:sz w:val="20"/>
              </w:rPr>
              <w:t>.</w:t>
            </w:r>
          </w:p>
          <w:p w:rsidR="004317A6" w:rsidRPr="00591362" w:rsidRDefault="004317A6" w:rsidP="00EF5E0F">
            <w:pPr>
              <w:pStyle w:val="NoSpacing"/>
              <w:rPr>
                <w:sz w:val="20"/>
              </w:rPr>
            </w:pPr>
          </w:p>
          <w:p w:rsidR="004317A6" w:rsidRPr="005E1899" w:rsidRDefault="004317A6" w:rsidP="00EF5E0F">
            <w:pPr>
              <w:pStyle w:val="NoSpacing"/>
              <w:rPr>
                <w:sz w:val="20"/>
              </w:rPr>
            </w:pPr>
            <w:r w:rsidRPr="005E1899">
              <w:rPr>
                <w:sz w:val="20"/>
              </w:rPr>
              <w:t>GHG emissions are:</w:t>
            </w:r>
          </w:p>
          <w:p w:rsidR="004317A6" w:rsidRPr="005E1899" w:rsidRDefault="004317A6" w:rsidP="00EF5E0F">
            <w:pPr>
              <w:pStyle w:val="NoSpacing"/>
              <w:rPr>
                <w:sz w:val="20"/>
              </w:rPr>
            </w:pPr>
          </w:p>
          <w:p w:rsidR="004317A6" w:rsidRPr="004317A6" w:rsidRDefault="004317A6" w:rsidP="00EF5E0F">
            <w:pPr>
              <w:pStyle w:val="NoSpacing"/>
              <w:rPr>
                <w:sz w:val="20"/>
              </w:rPr>
            </w:pPr>
            <m:oMathPara>
              <m:oMathParaPr>
                <m:jc m:val="left"/>
              </m:oMathParaPr>
              <m:oMath>
                <m:r>
                  <w:rPr>
                    <w:rFonts w:ascii="Cambria Math" w:hAnsi="Cambria Math"/>
                    <w:sz w:val="20"/>
                  </w:rPr>
                  <m:t>GHG=</m:t>
                </m:r>
                <m:nary>
                  <m:naryPr>
                    <m:chr m:val="∑"/>
                    <m:limLoc m:val="undOvr"/>
                    <m:supHide m:val="1"/>
                    <m:ctrlPr>
                      <w:rPr>
                        <w:rFonts w:ascii="Cambria Math" w:hAnsi="Cambria Math"/>
                        <w:i/>
                        <w:sz w:val="20"/>
                      </w:rPr>
                    </m:ctrlPr>
                  </m:naryPr>
                  <m:sub>
                    <m:r>
                      <w:rPr>
                        <w:rFonts w:ascii="Cambria Math" w:hAnsi="Cambria Math"/>
                        <w:sz w:val="20"/>
                      </w:rPr>
                      <m:t>i</m:t>
                    </m:r>
                  </m:sub>
                  <m:sup/>
                  <m:e>
                    <m:sSub>
                      <m:sSubPr>
                        <m:ctrlPr>
                          <w:rPr>
                            <w:rFonts w:ascii="Cambria Math" w:hAnsi="Cambria Math"/>
                            <w:i/>
                            <w:sz w:val="20"/>
                          </w:rPr>
                        </m:ctrlPr>
                      </m:sSubPr>
                      <m:e>
                        <m:r>
                          <w:rPr>
                            <w:rFonts w:ascii="Cambria Math" w:hAnsi="Cambria Math"/>
                            <w:sz w:val="20"/>
                          </w:rPr>
                          <m:t>FC</m:t>
                        </m:r>
                      </m:e>
                      <m:sub>
                        <m:r>
                          <w:rPr>
                            <w:rFonts w:ascii="Cambria Math" w:hAnsi="Cambria Math"/>
                            <w:sz w:val="20"/>
                          </w:rPr>
                          <m:t>i</m:t>
                        </m:r>
                      </m:sub>
                    </m:sSub>
                  </m:e>
                </m:nary>
                <m:r>
                  <w:rPr>
                    <w:rFonts w:ascii="Cambria Math" w:hAnsi="Cambria Math"/>
                    <w:sz w:val="20"/>
                  </w:rPr>
                  <m:t>×</m:t>
                </m:r>
                <m:sSub>
                  <m:sSubPr>
                    <m:ctrlPr>
                      <w:rPr>
                        <w:rFonts w:ascii="Cambria Math" w:hAnsi="Cambria Math"/>
                        <w:i/>
                        <w:sz w:val="20"/>
                      </w:rPr>
                    </m:ctrlPr>
                  </m:sSubPr>
                  <m:e>
                    <m:r>
                      <w:rPr>
                        <w:rFonts w:ascii="Cambria Math" w:hAnsi="Cambria Math"/>
                        <w:sz w:val="20"/>
                      </w:rPr>
                      <m:t>NCV</m:t>
                    </m:r>
                  </m:e>
                  <m:sub>
                    <m:r>
                      <w:rPr>
                        <w:rFonts w:ascii="Cambria Math" w:hAnsi="Cambria Math"/>
                        <w:sz w:val="20"/>
                      </w:rPr>
                      <m:t>i</m:t>
                    </m:r>
                  </m:sub>
                </m:sSub>
                <m:r>
                  <w:rPr>
                    <w:rFonts w:ascii="Cambria Math" w:hAnsi="Cambria Math"/>
                    <w:sz w:val="20"/>
                  </w:rPr>
                  <m:t>×</m:t>
                </m:r>
                <m:sSub>
                  <m:sSubPr>
                    <m:ctrlPr>
                      <w:rPr>
                        <w:rFonts w:ascii="Cambria Math" w:hAnsi="Cambria Math"/>
                        <w:i/>
                        <w:sz w:val="20"/>
                      </w:rPr>
                    </m:ctrlPr>
                  </m:sSubPr>
                  <m:e>
                    <m:r>
                      <w:rPr>
                        <w:rFonts w:ascii="Cambria Math" w:hAnsi="Cambria Math"/>
                        <w:sz w:val="20"/>
                      </w:rPr>
                      <m:t>EF</m:t>
                    </m:r>
                  </m:e>
                  <m:sub>
                    <m:r>
                      <w:rPr>
                        <w:rFonts w:ascii="Cambria Math" w:hAnsi="Cambria Math"/>
                        <w:sz w:val="20"/>
                      </w:rPr>
                      <m:t>CO2,i</m:t>
                    </m:r>
                  </m:sub>
                </m:sSub>
                <m:r>
                  <w:rPr>
                    <w:rFonts w:ascii="Cambria Math" w:hAnsi="Cambria Math"/>
                    <w:sz w:val="20"/>
                  </w:rPr>
                  <m:t>+EC×</m:t>
                </m:r>
                <m:sSub>
                  <m:sSubPr>
                    <m:ctrlPr>
                      <w:rPr>
                        <w:rFonts w:ascii="Cambria Math" w:hAnsi="Cambria Math"/>
                        <w:i/>
                        <w:sz w:val="20"/>
                      </w:rPr>
                    </m:ctrlPr>
                  </m:sSubPr>
                  <m:e>
                    <m:r>
                      <w:rPr>
                        <w:rFonts w:ascii="Cambria Math" w:hAnsi="Cambria Math"/>
                        <w:sz w:val="20"/>
                      </w:rPr>
                      <m:t>EF</m:t>
                    </m:r>
                  </m:e>
                  <m:sub>
                    <m:r>
                      <w:rPr>
                        <w:rFonts w:ascii="Cambria Math" w:hAnsi="Cambria Math"/>
                        <w:sz w:val="20"/>
                      </w:rPr>
                      <m:t>elec</m:t>
                    </m:r>
                  </m:sub>
                </m:sSub>
              </m:oMath>
            </m:oMathPara>
          </w:p>
          <w:p w:rsidR="004317A6" w:rsidRPr="005E1899" w:rsidRDefault="004317A6" w:rsidP="00EF5E0F">
            <w:pPr>
              <w:pStyle w:val="NoSpacing"/>
              <w:rPr>
                <w:rFonts w:eastAsia="Times New Roman"/>
                <w:sz w:val="20"/>
              </w:rPr>
            </w:pPr>
            <w:r w:rsidRPr="005E1899">
              <w:rPr>
                <w:rFonts w:eastAsia="Times New Roman"/>
                <w:sz w:val="20"/>
              </w:rPr>
              <w:t>where:</w:t>
            </w:r>
          </w:p>
          <w:p w:rsidR="004317A6" w:rsidRPr="005E1899" w:rsidRDefault="004317A6" w:rsidP="00EF5E0F">
            <w:pPr>
              <w:pStyle w:val="NoSpacing"/>
              <w:rPr>
                <w:rFonts w:eastAsia="Times New Roman"/>
                <w:sz w:val="20"/>
              </w:rPr>
            </w:pPr>
            <w:r w:rsidRPr="005E1899">
              <w:rPr>
                <w:rFonts w:eastAsia="Times New Roman"/>
                <w:sz w:val="20"/>
              </w:rPr>
              <w:t>FC</w:t>
            </w:r>
            <w:r w:rsidRPr="005E1899">
              <w:rPr>
                <w:rFonts w:eastAsia="Times New Roman"/>
                <w:sz w:val="20"/>
                <w:vertAlign w:val="subscript"/>
              </w:rPr>
              <w:t>i</w:t>
            </w:r>
            <w:r w:rsidRPr="005E1899">
              <w:rPr>
                <w:rFonts w:eastAsia="Times New Roman"/>
                <w:sz w:val="20"/>
              </w:rPr>
              <w:tab/>
              <w:t>Fuel consumption of fuel type i</w:t>
            </w:r>
          </w:p>
          <w:p w:rsidR="004317A6" w:rsidRPr="005E1899" w:rsidRDefault="004317A6" w:rsidP="00EF5E0F">
            <w:pPr>
              <w:pStyle w:val="NoSpacing"/>
              <w:rPr>
                <w:rFonts w:eastAsia="Times New Roman"/>
                <w:sz w:val="20"/>
              </w:rPr>
            </w:pPr>
            <w:r w:rsidRPr="005E1899">
              <w:rPr>
                <w:rFonts w:eastAsia="Times New Roman"/>
                <w:sz w:val="20"/>
              </w:rPr>
              <w:t>NCV</w:t>
            </w:r>
            <w:r w:rsidRPr="005E1899">
              <w:rPr>
                <w:rFonts w:eastAsia="Times New Roman"/>
                <w:sz w:val="20"/>
                <w:vertAlign w:val="subscript"/>
              </w:rPr>
              <w:t>i</w:t>
            </w:r>
            <w:r w:rsidRPr="005E1899">
              <w:rPr>
                <w:rFonts w:eastAsia="Times New Roman"/>
                <w:sz w:val="20"/>
              </w:rPr>
              <w:tab/>
              <w:t>Net calorific value of fossil fuel type i</w:t>
            </w:r>
          </w:p>
          <w:p w:rsidR="004317A6" w:rsidRPr="005E1899" w:rsidRDefault="004317A6" w:rsidP="00EF5E0F">
            <w:pPr>
              <w:pStyle w:val="NoSpacing"/>
              <w:rPr>
                <w:rFonts w:eastAsia="Times New Roman"/>
                <w:sz w:val="20"/>
              </w:rPr>
            </w:pPr>
            <w:r w:rsidRPr="005E1899">
              <w:rPr>
                <w:rFonts w:eastAsia="Times New Roman"/>
                <w:sz w:val="20"/>
              </w:rPr>
              <w:t>EF</w:t>
            </w:r>
            <w:r w:rsidRPr="005E1899">
              <w:rPr>
                <w:rFonts w:eastAsia="Times New Roman"/>
                <w:sz w:val="20"/>
                <w:vertAlign w:val="subscript"/>
              </w:rPr>
              <w:t>CO2,i</w:t>
            </w:r>
            <w:r w:rsidRPr="005E1899">
              <w:rPr>
                <w:rFonts w:eastAsia="Times New Roman"/>
                <w:sz w:val="20"/>
              </w:rPr>
              <w:tab/>
              <w:t>CO</w:t>
            </w:r>
            <w:r w:rsidRPr="005E1899">
              <w:rPr>
                <w:rFonts w:eastAsia="Times New Roman"/>
                <w:sz w:val="20"/>
                <w:vertAlign w:val="subscript"/>
              </w:rPr>
              <w:t>2</w:t>
            </w:r>
            <w:r w:rsidRPr="005E1899">
              <w:rPr>
                <w:rFonts w:eastAsia="Times New Roman"/>
                <w:sz w:val="20"/>
              </w:rPr>
              <w:t xml:space="preserve"> emission factor of fossil fuel type i </w:t>
            </w:r>
          </w:p>
          <w:p w:rsidR="004317A6" w:rsidRPr="005E1899" w:rsidRDefault="004317A6" w:rsidP="00EF5E0F">
            <w:pPr>
              <w:pStyle w:val="NoSpacing"/>
              <w:rPr>
                <w:rFonts w:eastAsia="Times New Roman"/>
                <w:sz w:val="20"/>
              </w:rPr>
            </w:pPr>
            <w:r w:rsidRPr="005E1899">
              <w:rPr>
                <w:rFonts w:eastAsia="Times New Roman"/>
                <w:sz w:val="20"/>
              </w:rPr>
              <w:t>EC</w:t>
            </w:r>
            <w:r w:rsidRPr="005E1899">
              <w:rPr>
                <w:rFonts w:eastAsia="Times New Roman"/>
                <w:sz w:val="20"/>
              </w:rPr>
              <w:tab/>
              <w:t xml:space="preserve">Electricity consumption for traction </w:t>
            </w:r>
          </w:p>
          <w:p w:rsidR="004317A6" w:rsidRPr="005E1899" w:rsidRDefault="004317A6" w:rsidP="00EF5E0F">
            <w:pPr>
              <w:pStyle w:val="NoSpacing"/>
              <w:rPr>
                <w:rFonts w:eastAsia="Times New Roman"/>
                <w:sz w:val="20"/>
              </w:rPr>
            </w:pPr>
            <w:r w:rsidRPr="005E1899">
              <w:rPr>
                <w:rFonts w:eastAsia="Times New Roman"/>
                <w:sz w:val="20"/>
              </w:rPr>
              <w:t>EF</w:t>
            </w:r>
            <w:r w:rsidRPr="005E1899">
              <w:rPr>
                <w:rFonts w:eastAsia="Times New Roman"/>
                <w:sz w:val="20"/>
                <w:vertAlign w:val="subscript"/>
              </w:rPr>
              <w:t>elec</w:t>
            </w:r>
            <w:r w:rsidRPr="005E1899">
              <w:rPr>
                <w:rFonts w:eastAsia="Times New Roman"/>
                <w:sz w:val="20"/>
              </w:rPr>
              <w:tab/>
              <w:t>Carbon emission factor of electricity production</w:t>
            </w:r>
          </w:p>
          <w:p w:rsidR="004317A6" w:rsidRPr="005E1899" w:rsidRDefault="004317A6" w:rsidP="00EF5E0F">
            <w:pPr>
              <w:pStyle w:val="NoSpacing"/>
              <w:rPr>
                <w:rFonts w:eastAsia="Times New Roman"/>
                <w:sz w:val="20"/>
              </w:rPr>
            </w:pPr>
          </w:p>
          <w:p w:rsidR="004317A6" w:rsidRPr="005E1899" w:rsidRDefault="004317A6" w:rsidP="00EF5E0F">
            <w:pPr>
              <w:pStyle w:val="NoSpacing"/>
              <w:rPr>
                <w:rFonts w:eastAsia="Times New Roman"/>
                <w:sz w:val="20"/>
              </w:rPr>
            </w:pPr>
            <w:r w:rsidRPr="005E1899">
              <w:rPr>
                <w:rFonts w:eastAsia="Times New Roman"/>
                <w:sz w:val="20"/>
              </w:rPr>
              <w:t>WTW includes also the WTT emissions of fossil fuels as well as Black Carbon (BC) emissions:</w:t>
            </w:r>
          </w:p>
          <w:p w:rsidR="004317A6" w:rsidRPr="005E1899" w:rsidRDefault="004317A6" w:rsidP="00EF5E0F">
            <w:pPr>
              <w:pStyle w:val="NoSpacing"/>
              <w:rPr>
                <w:sz w:val="20"/>
              </w:rPr>
            </w:pPr>
          </w:p>
          <w:p w:rsidR="004317A6" w:rsidRPr="004317A6" w:rsidRDefault="004317A6" w:rsidP="00EF5E0F">
            <w:pPr>
              <w:pStyle w:val="NoSpacing"/>
              <w:rPr>
                <w:sz w:val="20"/>
              </w:rPr>
            </w:pPr>
            <m:oMathPara>
              <m:oMathParaPr>
                <m:jc m:val="left"/>
              </m:oMathParaPr>
              <m:oMath>
                <m:r>
                  <w:rPr>
                    <w:rFonts w:ascii="Cambria Math" w:hAnsi="Cambria Math"/>
                    <w:sz w:val="20"/>
                  </w:rPr>
                  <m:t>WTW=</m:t>
                </m:r>
                <m:nary>
                  <m:naryPr>
                    <m:chr m:val="∑"/>
                    <m:limLoc m:val="undOvr"/>
                    <m:supHide m:val="1"/>
                    <m:ctrlPr>
                      <w:rPr>
                        <w:rFonts w:ascii="Cambria Math" w:hAnsi="Cambria Math"/>
                        <w:i/>
                        <w:sz w:val="20"/>
                      </w:rPr>
                    </m:ctrlPr>
                  </m:naryPr>
                  <m:sub>
                    <m:r>
                      <w:rPr>
                        <w:rFonts w:ascii="Cambria Math" w:hAnsi="Cambria Math"/>
                        <w:sz w:val="20"/>
                      </w:rPr>
                      <m:t>i</m:t>
                    </m:r>
                  </m:sub>
                  <m:sup/>
                  <m:e>
                    <m:sSub>
                      <m:sSubPr>
                        <m:ctrlPr>
                          <w:rPr>
                            <w:rFonts w:ascii="Cambria Math" w:hAnsi="Cambria Math"/>
                            <w:i/>
                            <w:sz w:val="20"/>
                          </w:rPr>
                        </m:ctrlPr>
                      </m:sSubPr>
                      <m:e>
                        <m:r>
                          <w:rPr>
                            <w:rFonts w:ascii="Cambria Math" w:hAnsi="Cambria Math"/>
                            <w:sz w:val="20"/>
                          </w:rPr>
                          <m:t>TTW</m:t>
                        </m:r>
                      </m:e>
                      <m:sub>
                        <m:r>
                          <w:rPr>
                            <w:rFonts w:ascii="Cambria Math" w:hAnsi="Cambria Math"/>
                            <w:sz w:val="20"/>
                          </w:rPr>
                          <m:t>i</m:t>
                        </m:r>
                      </m:sub>
                    </m:sSub>
                  </m:e>
                </m:nary>
                <m:r>
                  <w:rPr>
                    <w:rFonts w:ascii="Cambria Math" w:hAnsi="Cambria Math"/>
                    <w:sz w:val="20"/>
                  </w:rPr>
                  <m:t>×</m:t>
                </m:r>
                <m:sSub>
                  <m:sSubPr>
                    <m:ctrlPr>
                      <w:rPr>
                        <w:rFonts w:ascii="Cambria Math" w:hAnsi="Cambria Math"/>
                        <w:i/>
                        <w:sz w:val="20"/>
                      </w:rPr>
                    </m:ctrlPr>
                  </m:sSubPr>
                  <m:e>
                    <m:r>
                      <w:rPr>
                        <w:rFonts w:ascii="Cambria Math" w:hAnsi="Cambria Math"/>
                        <w:sz w:val="20"/>
                      </w:rPr>
                      <m:t>UEF</m:t>
                    </m:r>
                  </m:e>
                  <m:sub>
                    <m:r>
                      <w:rPr>
                        <w:rFonts w:ascii="Cambria Math" w:hAnsi="Cambria Math"/>
                        <w:sz w:val="20"/>
                      </w:rPr>
                      <m:t>i</m:t>
                    </m:r>
                  </m:sub>
                </m:sSub>
                <m:r>
                  <w:rPr>
                    <w:rFonts w:ascii="Cambria Math" w:hAnsi="Cambria Math"/>
                    <w:sz w:val="20"/>
                  </w:rPr>
                  <m:t>+BC</m:t>
                </m:r>
              </m:oMath>
            </m:oMathPara>
          </w:p>
          <w:p w:rsidR="004317A6" w:rsidRPr="005E1899" w:rsidRDefault="004317A6" w:rsidP="00EF5E0F">
            <w:pPr>
              <w:pStyle w:val="NoSpacing"/>
              <w:rPr>
                <w:rFonts w:eastAsia="Times New Roman"/>
                <w:sz w:val="20"/>
              </w:rPr>
            </w:pPr>
          </w:p>
          <w:p w:rsidR="004317A6" w:rsidRPr="005E1899" w:rsidRDefault="004317A6" w:rsidP="00EF5E0F">
            <w:pPr>
              <w:pStyle w:val="NoSpacing"/>
              <w:rPr>
                <w:rFonts w:eastAsia="Times New Roman"/>
                <w:sz w:val="20"/>
              </w:rPr>
            </w:pPr>
            <w:r w:rsidRPr="005E1899">
              <w:rPr>
                <w:rFonts w:eastAsia="Times New Roman"/>
                <w:sz w:val="20"/>
              </w:rPr>
              <w:t>where:</w:t>
            </w:r>
          </w:p>
          <w:p w:rsidR="004317A6" w:rsidRPr="005E1899" w:rsidRDefault="004317A6" w:rsidP="00EF5E0F">
            <w:pPr>
              <w:pStyle w:val="NoSpacing"/>
              <w:rPr>
                <w:rFonts w:eastAsia="Times New Roman"/>
                <w:sz w:val="20"/>
              </w:rPr>
            </w:pPr>
            <w:r w:rsidRPr="005E1899">
              <w:rPr>
                <w:rFonts w:eastAsia="Times New Roman"/>
                <w:sz w:val="20"/>
              </w:rPr>
              <w:t>TTW</w:t>
            </w:r>
            <w:r w:rsidRPr="005E1899">
              <w:rPr>
                <w:rFonts w:eastAsia="Times New Roman"/>
                <w:sz w:val="20"/>
                <w:vertAlign w:val="subscript"/>
              </w:rPr>
              <w:t>i</w:t>
            </w:r>
            <w:r w:rsidRPr="005E1899">
              <w:rPr>
                <w:rFonts w:eastAsia="Times New Roman"/>
                <w:sz w:val="20"/>
              </w:rPr>
              <w:tab/>
              <w:t>TTW GHG emissions of fuel i</w:t>
            </w:r>
          </w:p>
          <w:p w:rsidR="004317A6" w:rsidRPr="005E1899" w:rsidRDefault="004317A6" w:rsidP="00EF5E0F">
            <w:pPr>
              <w:pStyle w:val="NoSpacing"/>
              <w:rPr>
                <w:rFonts w:eastAsia="Times New Roman"/>
                <w:sz w:val="20"/>
              </w:rPr>
            </w:pPr>
            <w:r w:rsidRPr="005E1899">
              <w:rPr>
                <w:rFonts w:eastAsia="Times New Roman"/>
                <w:sz w:val="20"/>
              </w:rPr>
              <w:t>UEF</w:t>
            </w:r>
            <w:r w:rsidRPr="005E1899">
              <w:rPr>
                <w:rFonts w:eastAsia="Times New Roman"/>
                <w:sz w:val="20"/>
                <w:vertAlign w:val="subscript"/>
              </w:rPr>
              <w:t>i</w:t>
            </w:r>
            <w:r w:rsidRPr="005E1899">
              <w:rPr>
                <w:rFonts w:eastAsia="Times New Roman"/>
                <w:sz w:val="20"/>
              </w:rPr>
              <w:tab/>
              <w:t>Upstream emission factor of fuel type i</w:t>
            </w:r>
          </w:p>
          <w:p w:rsidR="004317A6" w:rsidRPr="005E1899" w:rsidRDefault="004317A6" w:rsidP="00EF5E0F">
            <w:pPr>
              <w:pStyle w:val="NoSpacing"/>
              <w:rPr>
                <w:rFonts w:eastAsia="Times New Roman"/>
                <w:sz w:val="20"/>
              </w:rPr>
            </w:pPr>
            <w:r w:rsidRPr="005E1899">
              <w:rPr>
                <w:rFonts w:eastAsia="Times New Roman"/>
                <w:sz w:val="20"/>
              </w:rPr>
              <w:t>BC</w:t>
            </w:r>
            <w:r w:rsidRPr="005E1899">
              <w:rPr>
                <w:rFonts w:eastAsia="Times New Roman"/>
                <w:sz w:val="20"/>
                <w:vertAlign w:val="subscript"/>
              </w:rPr>
              <w:t>i</w:t>
            </w:r>
            <w:r w:rsidRPr="005E1899">
              <w:rPr>
                <w:rFonts w:eastAsia="Times New Roman"/>
                <w:sz w:val="20"/>
              </w:rPr>
              <w:tab/>
              <w:t>Black Carbon emissions (determined per vehicle technology and fuel type)</w:t>
            </w:r>
          </w:p>
          <w:p w:rsidR="004317A6" w:rsidRPr="00591362" w:rsidRDefault="004317A6" w:rsidP="00EF5E0F">
            <w:pPr>
              <w:pStyle w:val="NoSpacing"/>
              <w:rPr>
                <w:sz w:val="20"/>
              </w:rPr>
            </w:pPr>
          </w:p>
        </w:tc>
      </w:tr>
      <w:tr w:rsidR="004317A6" w:rsidTr="00EF5E0F">
        <w:tc>
          <w:tcPr>
            <w:tcW w:w="2235" w:type="dxa"/>
            <w:shd w:val="clear" w:color="auto" w:fill="C6D9F1"/>
          </w:tcPr>
          <w:p w:rsidR="004317A6" w:rsidRPr="00591362" w:rsidRDefault="004317A6" w:rsidP="00EF5E0F">
            <w:pPr>
              <w:pStyle w:val="NoSpacing"/>
              <w:rPr>
                <w:b/>
                <w:sz w:val="20"/>
              </w:rPr>
            </w:pPr>
            <w:r w:rsidRPr="00591362">
              <w:rPr>
                <w:b/>
                <w:sz w:val="20"/>
              </w:rPr>
              <w:t>Comment</w:t>
            </w:r>
          </w:p>
        </w:tc>
        <w:tc>
          <w:tcPr>
            <w:tcW w:w="7051" w:type="dxa"/>
            <w:shd w:val="clear" w:color="auto" w:fill="auto"/>
          </w:tcPr>
          <w:p w:rsidR="004317A6" w:rsidRPr="00591362" w:rsidRDefault="004317A6" w:rsidP="00EF5E0F">
            <w:pPr>
              <w:pStyle w:val="NoSpacing"/>
              <w:rPr>
                <w:sz w:val="20"/>
              </w:rPr>
            </w:pPr>
            <w:r>
              <w:rPr>
                <w:sz w:val="20"/>
              </w:rPr>
              <w:t>See default and monitored parameters for details</w:t>
            </w:r>
          </w:p>
        </w:tc>
      </w:tr>
    </w:tbl>
    <w:p w:rsidR="004317A6" w:rsidRDefault="004317A6" w:rsidP="004317A6"/>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190"/>
        <w:gridCol w:w="6806"/>
      </w:tblGrid>
      <w:tr w:rsidR="004317A6" w:rsidTr="00EF5E0F">
        <w:tc>
          <w:tcPr>
            <w:tcW w:w="2235" w:type="dxa"/>
            <w:shd w:val="clear" w:color="auto" w:fill="C6D9F1"/>
          </w:tcPr>
          <w:p w:rsidR="004317A6" w:rsidRPr="00591362" w:rsidRDefault="004317A6" w:rsidP="00EF5E0F">
            <w:pPr>
              <w:pStyle w:val="NoSpacing"/>
              <w:rPr>
                <w:b/>
                <w:sz w:val="20"/>
              </w:rPr>
            </w:pPr>
            <w:r>
              <w:rPr>
                <w:b/>
                <w:sz w:val="20"/>
              </w:rPr>
              <w:t>ID</w:t>
            </w:r>
          </w:p>
        </w:tc>
        <w:tc>
          <w:tcPr>
            <w:tcW w:w="7051" w:type="dxa"/>
            <w:shd w:val="clear" w:color="auto" w:fill="auto"/>
          </w:tcPr>
          <w:p w:rsidR="004317A6" w:rsidRPr="004409EE" w:rsidRDefault="004317A6" w:rsidP="00EF5E0F">
            <w:pPr>
              <w:pStyle w:val="NoSpacing"/>
              <w:rPr>
                <w:b/>
                <w:sz w:val="20"/>
              </w:rPr>
            </w:pPr>
            <w:r w:rsidRPr="004409EE">
              <w:rPr>
                <w:b/>
                <w:sz w:val="20"/>
              </w:rPr>
              <w:t>R2</w:t>
            </w:r>
          </w:p>
        </w:tc>
      </w:tr>
      <w:tr w:rsidR="004317A6" w:rsidRPr="00100058" w:rsidTr="00EF5E0F">
        <w:tc>
          <w:tcPr>
            <w:tcW w:w="2235" w:type="dxa"/>
            <w:shd w:val="clear" w:color="auto" w:fill="C6D9F1"/>
          </w:tcPr>
          <w:p w:rsidR="004317A6" w:rsidRPr="00591362" w:rsidRDefault="004317A6" w:rsidP="00EF5E0F">
            <w:pPr>
              <w:pStyle w:val="NoSpacing"/>
              <w:rPr>
                <w:b/>
                <w:sz w:val="20"/>
              </w:rPr>
            </w:pPr>
            <w:r w:rsidRPr="00591362">
              <w:rPr>
                <w:b/>
                <w:sz w:val="20"/>
              </w:rPr>
              <w:t>Indicator</w:t>
            </w:r>
          </w:p>
        </w:tc>
        <w:tc>
          <w:tcPr>
            <w:tcW w:w="7051" w:type="dxa"/>
            <w:shd w:val="clear" w:color="auto" w:fill="auto"/>
          </w:tcPr>
          <w:p w:rsidR="004317A6" w:rsidRPr="00294A18" w:rsidRDefault="004317A6" w:rsidP="00EF5E0F">
            <w:pPr>
              <w:pStyle w:val="NoSpacing"/>
              <w:rPr>
                <w:sz w:val="20"/>
                <w:lang w:val="de-DE"/>
              </w:rPr>
            </w:pPr>
            <w:r w:rsidRPr="00294A18">
              <w:rPr>
                <w:sz w:val="20"/>
                <w:lang w:val="de-DE"/>
              </w:rPr>
              <w:t>gCO</w:t>
            </w:r>
            <w:r w:rsidRPr="00294A18">
              <w:rPr>
                <w:sz w:val="20"/>
                <w:vertAlign w:val="subscript"/>
                <w:lang w:val="de-DE"/>
              </w:rPr>
              <w:t>2e</w:t>
            </w:r>
            <w:r w:rsidRPr="00294A18">
              <w:rPr>
                <w:sz w:val="20"/>
                <w:lang w:val="de-DE"/>
              </w:rPr>
              <w:t>/</w:t>
            </w:r>
            <w:r w:rsidR="00294A18" w:rsidRPr="00294A18">
              <w:rPr>
                <w:sz w:val="20"/>
                <w:lang w:val="de-DE"/>
              </w:rPr>
              <w:t>p</w:t>
            </w:r>
            <w:r w:rsidRPr="00294A18">
              <w:rPr>
                <w:sz w:val="20"/>
                <w:lang w:val="de-DE"/>
              </w:rPr>
              <w:t>km</w:t>
            </w:r>
            <w:r w:rsidR="00294A18" w:rsidRPr="00294A18">
              <w:rPr>
                <w:sz w:val="20"/>
                <w:lang w:val="de-DE"/>
              </w:rPr>
              <w:t xml:space="preserve"> and gCO</w:t>
            </w:r>
            <w:r w:rsidR="00294A18" w:rsidRPr="00294A18">
              <w:rPr>
                <w:sz w:val="20"/>
                <w:vertAlign w:val="subscript"/>
                <w:lang w:val="de-DE"/>
              </w:rPr>
              <w:t>2e</w:t>
            </w:r>
            <w:r w:rsidR="00294A18" w:rsidRPr="00294A18">
              <w:rPr>
                <w:sz w:val="20"/>
                <w:lang w:val="de-DE"/>
              </w:rPr>
              <w:t>/tkm</w:t>
            </w:r>
          </w:p>
        </w:tc>
      </w:tr>
      <w:tr w:rsidR="004317A6" w:rsidTr="00EF5E0F">
        <w:tc>
          <w:tcPr>
            <w:tcW w:w="2235" w:type="dxa"/>
            <w:shd w:val="clear" w:color="auto" w:fill="C6D9F1"/>
          </w:tcPr>
          <w:p w:rsidR="004317A6" w:rsidRPr="00591362" w:rsidRDefault="004317A6" w:rsidP="00EF5E0F">
            <w:pPr>
              <w:pStyle w:val="NoSpacing"/>
              <w:rPr>
                <w:b/>
                <w:sz w:val="20"/>
              </w:rPr>
            </w:pPr>
            <w:r w:rsidRPr="00591362">
              <w:rPr>
                <w:b/>
                <w:sz w:val="20"/>
              </w:rPr>
              <w:t>Description</w:t>
            </w:r>
          </w:p>
        </w:tc>
        <w:tc>
          <w:tcPr>
            <w:tcW w:w="7051" w:type="dxa"/>
            <w:shd w:val="clear" w:color="auto" w:fill="auto"/>
          </w:tcPr>
          <w:p w:rsidR="004317A6" w:rsidRPr="00591362" w:rsidRDefault="004317A6" w:rsidP="00294A18">
            <w:pPr>
              <w:pStyle w:val="NoSpacing"/>
              <w:rPr>
                <w:sz w:val="20"/>
              </w:rPr>
            </w:pPr>
            <w:r>
              <w:rPr>
                <w:sz w:val="20"/>
              </w:rPr>
              <w:t xml:space="preserve">GHG emissions per </w:t>
            </w:r>
            <w:r w:rsidR="00294A18">
              <w:rPr>
                <w:sz w:val="20"/>
              </w:rPr>
              <w:t>passenger-</w:t>
            </w:r>
            <w:r>
              <w:rPr>
                <w:sz w:val="20"/>
              </w:rPr>
              <w:t xml:space="preserve">kilometre </w:t>
            </w:r>
            <w:r w:rsidR="00294A18">
              <w:rPr>
                <w:sz w:val="20"/>
              </w:rPr>
              <w:t xml:space="preserve">and per ton-kilometre </w:t>
            </w:r>
          </w:p>
        </w:tc>
      </w:tr>
      <w:tr w:rsidR="004317A6" w:rsidTr="00EF5E0F">
        <w:tc>
          <w:tcPr>
            <w:tcW w:w="2235" w:type="dxa"/>
            <w:shd w:val="clear" w:color="auto" w:fill="C6D9F1"/>
          </w:tcPr>
          <w:p w:rsidR="004317A6" w:rsidRPr="00591362" w:rsidRDefault="004317A6" w:rsidP="00EF5E0F">
            <w:pPr>
              <w:pStyle w:val="NoSpacing"/>
              <w:rPr>
                <w:b/>
                <w:sz w:val="20"/>
              </w:rPr>
            </w:pPr>
            <w:r>
              <w:rPr>
                <w:b/>
                <w:sz w:val="20"/>
              </w:rPr>
              <w:t>C</w:t>
            </w:r>
            <w:r w:rsidRPr="00591362">
              <w:rPr>
                <w:b/>
                <w:sz w:val="20"/>
              </w:rPr>
              <w:t>alculation method</w:t>
            </w:r>
          </w:p>
        </w:tc>
        <w:tc>
          <w:tcPr>
            <w:tcW w:w="7051" w:type="dxa"/>
            <w:shd w:val="clear" w:color="auto" w:fill="auto"/>
          </w:tcPr>
          <w:p w:rsidR="004317A6" w:rsidRPr="00591362" w:rsidRDefault="004317A6" w:rsidP="00294A18">
            <w:pPr>
              <w:pStyle w:val="NoSpacing"/>
              <w:rPr>
                <w:sz w:val="20"/>
              </w:rPr>
            </w:pPr>
            <w:r>
              <w:rPr>
                <w:sz w:val="20"/>
              </w:rPr>
              <w:t xml:space="preserve">Idem to R1 GHG emissions are calculated TTW and WTW using the same formulae but dividing it with the </w:t>
            </w:r>
            <w:r w:rsidR="00294A18">
              <w:rPr>
                <w:sz w:val="20"/>
              </w:rPr>
              <w:t>pkm and the tkm. The indicator is calculated for rail, trucks and buses.</w:t>
            </w:r>
          </w:p>
        </w:tc>
      </w:tr>
      <w:tr w:rsidR="004317A6" w:rsidTr="00EF5E0F">
        <w:tc>
          <w:tcPr>
            <w:tcW w:w="2235" w:type="dxa"/>
            <w:shd w:val="clear" w:color="auto" w:fill="C6D9F1"/>
          </w:tcPr>
          <w:p w:rsidR="004317A6" w:rsidRPr="00591362" w:rsidRDefault="004317A6" w:rsidP="00EF5E0F">
            <w:pPr>
              <w:pStyle w:val="NoSpacing"/>
              <w:rPr>
                <w:b/>
                <w:sz w:val="20"/>
              </w:rPr>
            </w:pPr>
            <w:r w:rsidRPr="00591362">
              <w:rPr>
                <w:b/>
                <w:sz w:val="20"/>
              </w:rPr>
              <w:t>Comment</w:t>
            </w:r>
          </w:p>
        </w:tc>
        <w:tc>
          <w:tcPr>
            <w:tcW w:w="7051" w:type="dxa"/>
            <w:shd w:val="clear" w:color="auto" w:fill="auto"/>
          </w:tcPr>
          <w:p w:rsidR="004317A6" w:rsidRPr="004B02E5" w:rsidRDefault="004317A6" w:rsidP="00294A18">
            <w:pPr>
              <w:pStyle w:val="NoSpacing"/>
              <w:rPr>
                <w:sz w:val="20"/>
              </w:rPr>
            </w:pPr>
            <w:r w:rsidRPr="004B02E5">
              <w:rPr>
                <w:sz w:val="20"/>
              </w:rPr>
              <w:t xml:space="preserve">Core performance indicator for </w:t>
            </w:r>
            <w:r w:rsidR="00294A18">
              <w:rPr>
                <w:sz w:val="20"/>
              </w:rPr>
              <w:t>rail effectiveness</w:t>
            </w:r>
          </w:p>
        </w:tc>
      </w:tr>
    </w:tbl>
    <w:p w:rsidR="004317A6" w:rsidRDefault="004317A6" w:rsidP="004317A6"/>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190"/>
        <w:gridCol w:w="6806"/>
      </w:tblGrid>
      <w:tr w:rsidR="004317A6" w:rsidTr="00EF5E0F">
        <w:tc>
          <w:tcPr>
            <w:tcW w:w="2235" w:type="dxa"/>
            <w:shd w:val="clear" w:color="auto" w:fill="C6D9F1"/>
          </w:tcPr>
          <w:p w:rsidR="004317A6" w:rsidRPr="00591362" w:rsidRDefault="004317A6" w:rsidP="00EF5E0F">
            <w:pPr>
              <w:pStyle w:val="NoSpacing"/>
              <w:rPr>
                <w:b/>
                <w:sz w:val="20"/>
              </w:rPr>
            </w:pPr>
            <w:r>
              <w:rPr>
                <w:b/>
                <w:sz w:val="20"/>
              </w:rPr>
              <w:t>ID</w:t>
            </w:r>
          </w:p>
        </w:tc>
        <w:tc>
          <w:tcPr>
            <w:tcW w:w="7051" w:type="dxa"/>
            <w:shd w:val="clear" w:color="auto" w:fill="auto"/>
          </w:tcPr>
          <w:p w:rsidR="004317A6" w:rsidRPr="004409EE" w:rsidRDefault="004317A6" w:rsidP="00EF5E0F">
            <w:pPr>
              <w:pStyle w:val="NoSpacing"/>
              <w:rPr>
                <w:b/>
                <w:sz w:val="20"/>
              </w:rPr>
            </w:pPr>
            <w:r>
              <w:rPr>
                <w:b/>
                <w:sz w:val="20"/>
              </w:rPr>
              <w:t>R3</w:t>
            </w:r>
          </w:p>
        </w:tc>
      </w:tr>
      <w:tr w:rsidR="004317A6" w:rsidTr="00EF5E0F">
        <w:tc>
          <w:tcPr>
            <w:tcW w:w="2235" w:type="dxa"/>
            <w:shd w:val="clear" w:color="auto" w:fill="C6D9F1"/>
          </w:tcPr>
          <w:p w:rsidR="004317A6" w:rsidRPr="00591362" w:rsidRDefault="004317A6" w:rsidP="00EF5E0F">
            <w:pPr>
              <w:pStyle w:val="NoSpacing"/>
              <w:rPr>
                <w:b/>
                <w:sz w:val="20"/>
              </w:rPr>
            </w:pPr>
            <w:r w:rsidRPr="00591362">
              <w:rPr>
                <w:b/>
                <w:sz w:val="20"/>
              </w:rPr>
              <w:t>Indicator</w:t>
            </w:r>
          </w:p>
        </w:tc>
        <w:tc>
          <w:tcPr>
            <w:tcW w:w="7051" w:type="dxa"/>
            <w:shd w:val="clear" w:color="auto" w:fill="auto"/>
          </w:tcPr>
          <w:p w:rsidR="004317A6" w:rsidRPr="00591362" w:rsidRDefault="00294A18" w:rsidP="00EF5E0F">
            <w:pPr>
              <w:pStyle w:val="NoSpacing"/>
              <w:rPr>
                <w:sz w:val="20"/>
              </w:rPr>
            </w:pPr>
            <w:r>
              <w:rPr>
                <w:sz w:val="20"/>
              </w:rPr>
              <w:t>Rail pkm and tkm</w:t>
            </w:r>
          </w:p>
        </w:tc>
      </w:tr>
      <w:tr w:rsidR="004317A6" w:rsidRPr="00294A18" w:rsidTr="00EF5E0F">
        <w:tc>
          <w:tcPr>
            <w:tcW w:w="2235" w:type="dxa"/>
            <w:shd w:val="clear" w:color="auto" w:fill="C6D9F1"/>
          </w:tcPr>
          <w:p w:rsidR="004317A6" w:rsidRPr="00591362" w:rsidRDefault="004317A6" w:rsidP="00EF5E0F">
            <w:pPr>
              <w:pStyle w:val="NoSpacing"/>
              <w:rPr>
                <w:b/>
                <w:sz w:val="20"/>
              </w:rPr>
            </w:pPr>
            <w:r w:rsidRPr="00591362">
              <w:rPr>
                <w:b/>
                <w:sz w:val="20"/>
              </w:rPr>
              <w:t>Description</w:t>
            </w:r>
          </w:p>
        </w:tc>
        <w:tc>
          <w:tcPr>
            <w:tcW w:w="7051" w:type="dxa"/>
            <w:shd w:val="clear" w:color="auto" w:fill="auto"/>
          </w:tcPr>
          <w:p w:rsidR="004317A6" w:rsidRPr="00294A18" w:rsidRDefault="00294A18" w:rsidP="00EF5E0F">
            <w:pPr>
              <w:pStyle w:val="NoSpacing"/>
              <w:rPr>
                <w:sz w:val="20"/>
              </w:rPr>
            </w:pPr>
            <w:r w:rsidRPr="00294A18">
              <w:rPr>
                <w:sz w:val="20"/>
              </w:rPr>
              <w:t>Total passenger-kilometre and ton-kilometre per annum of rail</w:t>
            </w:r>
          </w:p>
        </w:tc>
      </w:tr>
      <w:tr w:rsidR="004317A6" w:rsidTr="00EF5E0F">
        <w:tc>
          <w:tcPr>
            <w:tcW w:w="2235" w:type="dxa"/>
            <w:shd w:val="clear" w:color="auto" w:fill="C6D9F1"/>
          </w:tcPr>
          <w:p w:rsidR="004317A6" w:rsidRPr="00591362" w:rsidRDefault="004317A6" w:rsidP="00EF5E0F">
            <w:pPr>
              <w:pStyle w:val="NoSpacing"/>
              <w:rPr>
                <w:b/>
                <w:sz w:val="20"/>
              </w:rPr>
            </w:pPr>
            <w:r>
              <w:rPr>
                <w:b/>
                <w:sz w:val="20"/>
              </w:rPr>
              <w:lastRenderedPageBreak/>
              <w:t>C</w:t>
            </w:r>
            <w:r w:rsidRPr="00591362">
              <w:rPr>
                <w:b/>
                <w:sz w:val="20"/>
              </w:rPr>
              <w:t>alculation method</w:t>
            </w:r>
          </w:p>
        </w:tc>
        <w:tc>
          <w:tcPr>
            <w:tcW w:w="7051" w:type="dxa"/>
            <w:shd w:val="clear" w:color="auto" w:fill="auto"/>
          </w:tcPr>
          <w:p w:rsidR="004317A6" w:rsidRPr="00591362" w:rsidRDefault="00294A18" w:rsidP="00EF5E0F">
            <w:pPr>
              <w:pStyle w:val="NoSpacing"/>
              <w:rPr>
                <w:sz w:val="20"/>
              </w:rPr>
            </w:pPr>
            <w:r>
              <w:rPr>
                <w:sz w:val="20"/>
              </w:rPr>
              <w:t>Based on passenger number and passenger lead and freight tons and freight lead as recorded by BR</w:t>
            </w:r>
          </w:p>
        </w:tc>
      </w:tr>
      <w:tr w:rsidR="004317A6" w:rsidTr="00EF5E0F">
        <w:tc>
          <w:tcPr>
            <w:tcW w:w="2235" w:type="dxa"/>
            <w:shd w:val="clear" w:color="auto" w:fill="C6D9F1"/>
          </w:tcPr>
          <w:p w:rsidR="004317A6" w:rsidRPr="00591362" w:rsidRDefault="004317A6" w:rsidP="00EF5E0F">
            <w:pPr>
              <w:pStyle w:val="NoSpacing"/>
              <w:rPr>
                <w:b/>
                <w:sz w:val="20"/>
              </w:rPr>
            </w:pPr>
            <w:r w:rsidRPr="00591362">
              <w:rPr>
                <w:b/>
                <w:sz w:val="20"/>
              </w:rPr>
              <w:t>Comment</w:t>
            </w:r>
          </w:p>
        </w:tc>
        <w:tc>
          <w:tcPr>
            <w:tcW w:w="7051" w:type="dxa"/>
            <w:shd w:val="clear" w:color="auto" w:fill="auto"/>
          </w:tcPr>
          <w:p w:rsidR="004317A6" w:rsidRPr="00591362" w:rsidRDefault="004317A6" w:rsidP="00294A18">
            <w:pPr>
              <w:pStyle w:val="NoSpacing"/>
              <w:rPr>
                <w:sz w:val="20"/>
              </w:rPr>
            </w:pPr>
            <w:r w:rsidRPr="004B02E5">
              <w:rPr>
                <w:sz w:val="20"/>
              </w:rPr>
              <w:t xml:space="preserve">Core performance indicator for </w:t>
            </w:r>
            <w:r w:rsidR="00294A18">
              <w:rPr>
                <w:sz w:val="20"/>
              </w:rPr>
              <w:t>achieving absolute service targets</w:t>
            </w:r>
          </w:p>
        </w:tc>
      </w:tr>
    </w:tbl>
    <w:p w:rsidR="004317A6" w:rsidRDefault="004317A6" w:rsidP="004317A6"/>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198"/>
        <w:gridCol w:w="6798"/>
      </w:tblGrid>
      <w:tr w:rsidR="004317A6" w:rsidTr="00EF5E0F">
        <w:tc>
          <w:tcPr>
            <w:tcW w:w="2235" w:type="dxa"/>
            <w:shd w:val="clear" w:color="auto" w:fill="C6D9F1"/>
          </w:tcPr>
          <w:p w:rsidR="004317A6" w:rsidRPr="00591362" w:rsidRDefault="004317A6" w:rsidP="00EF5E0F">
            <w:pPr>
              <w:pStyle w:val="NoSpacing"/>
              <w:rPr>
                <w:b/>
                <w:sz w:val="20"/>
              </w:rPr>
            </w:pPr>
            <w:r>
              <w:rPr>
                <w:b/>
                <w:sz w:val="20"/>
              </w:rPr>
              <w:t>ID</w:t>
            </w:r>
          </w:p>
        </w:tc>
        <w:tc>
          <w:tcPr>
            <w:tcW w:w="7051" w:type="dxa"/>
            <w:shd w:val="clear" w:color="auto" w:fill="auto"/>
          </w:tcPr>
          <w:p w:rsidR="004317A6" w:rsidRPr="00860ABC" w:rsidRDefault="00294A18" w:rsidP="00EF5E0F">
            <w:pPr>
              <w:pStyle w:val="NoSpacing"/>
              <w:rPr>
                <w:b/>
                <w:sz w:val="20"/>
              </w:rPr>
            </w:pPr>
            <w:r>
              <w:rPr>
                <w:b/>
                <w:sz w:val="20"/>
              </w:rPr>
              <w:t>R4</w:t>
            </w:r>
          </w:p>
        </w:tc>
      </w:tr>
      <w:tr w:rsidR="004317A6" w:rsidTr="00EF5E0F">
        <w:tc>
          <w:tcPr>
            <w:tcW w:w="2235" w:type="dxa"/>
            <w:shd w:val="clear" w:color="auto" w:fill="C6D9F1"/>
          </w:tcPr>
          <w:p w:rsidR="004317A6" w:rsidRPr="00591362" w:rsidRDefault="004317A6" w:rsidP="00EF5E0F">
            <w:pPr>
              <w:pStyle w:val="NoSpacing"/>
              <w:rPr>
                <w:b/>
                <w:sz w:val="20"/>
              </w:rPr>
            </w:pPr>
            <w:r w:rsidRPr="00591362">
              <w:rPr>
                <w:b/>
                <w:sz w:val="20"/>
              </w:rPr>
              <w:t>Indicator</w:t>
            </w:r>
          </w:p>
        </w:tc>
        <w:tc>
          <w:tcPr>
            <w:tcW w:w="7051" w:type="dxa"/>
            <w:shd w:val="clear" w:color="auto" w:fill="auto"/>
          </w:tcPr>
          <w:p w:rsidR="004317A6" w:rsidRPr="00591362" w:rsidRDefault="00294A18" w:rsidP="00EF5E0F">
            <w:pPr>
              <w:pStyle w:val="NoSpacing"/>
              <w:rPr>
                <w:sz w:val="20"/>
              </w:rPr>
            </w:pPr>
            <w:r>
              <w:rPr>
                <w:sz w:val="20"/>
              </w:rPr>
              <w:t xml:space="preserve">PM and </w:t>
            </w:r>
            <w:r w:rsidR="004317A6">
              <w:rPr>
                <w:sz w:val="20"/>
              </w:rPr>
              <w:t>NO</w:t>
            </w:r>
            <w:r w:rsidR="004317A6" w:rsidRPr="00860ABC">
              <w:rPr>
                <w:sz w:val="20"/>
                <w:vertAlign w:val="subscript"/>
              </w:rPr>
              <w:t>x</w:t>
            </w:r>
          </w:p>
        </w:tc>
      </w:tr>
      <w:tr w:rsidR="004317A6" w:rsidTr="00EF5E0F">
        <w:tc>
          <w:tcPr>
            <w:tcW w:w="2235" w:type="dxa"/>
            <w:shd w:val="clear" w:color="auto" w:fill="C6D9F1"/>
          </w:tcPr>
          <w:p w:rsidR="004317A6" w:rsidRPr="00591362" w:rsidRDefault="004317A6" w:rsidP="00EF5E0F">
            <w:pPr>
              <w:pStyle w:val="NoSpacing"/>
              <w:rPr>
                <w:b/>
                <w:sz w:val="20"/>
              </w:rPr>
            </w:pPr>
            <w:r w:rsidRPr="00591362">
              <w:rPr>
                <w:b/>
                <w:sz w:val="20"/>
              </w:rPr>
              <w:t>Description</w:t>
            </w:r>
          </w:p>
        </w:tc>
        <w:tc>
          <w:tcPr>
            <w:tcW w:w="7051" w:type="dxa"/>
            <w:shd w:val="clear" w:color="auto" w:fill="auto"/>
          </w:tcPr>
          <w:p w:rsidR="004317A6" w:rsidRPr="00591362" w:rsidRDefault="00294A18" w:rsidP="00EF5E0F">
            <w:pPr>
              <w:pStyle w:val="NoSpacing"/>
              <w:rPr>
                <w:sz w:val="20"/>
              </w:rPr>
            </w:pPr>
            <w:r>
              <w:rPr>
                <w:sz w:val="20"/>
              </w:rPr>
              <w:t xml:space="preserve">PM and </w:t>
            </w:r>
            <w:r w:rsidR="004317A6">
              <w:rPr>
                <w:sz w:val="20"/>
              </w:rPr>
              <w:t>NO</w:t>
            </w:r>
            <w:r w:rsidR="004317A6" w:rsidRPr="00860ABC">
              <w:rPr>
                <w:sz w:val="20"/>
                <w:vertAlign w:val="subscript"/>
              </w:rPr>
              <w:t>x</w:t>
            </w:r>
            <w:r w:rsidR="004317A6">
              <w:rPr>
                <w:sz w:val="20"/>
              </w:rPr>
              <w:t xml:space="preserve"> emissions</w:t>
            </w:r>
            <w:r>
              <w:rPr>
                <w:sz w:val="20"/>
              </w:rPr>
              <w:t xml:space="preserve"> reduced</w:t>
            </w:r>
          </w:p>
        </w:tc>
      </w:tr>
      <w:tr w:rsidR="004317A6" w:rsidTr="00EF5E0F">
        <w:tc>
          <w:tcPr>
            <w:tcW w:w="2235" w:type="dxa"/>
            <w:shd w:val="clear" w:color="auto" w:fill="C6D9F1"/>
          </w:tcPr>
          <w:p w:rsidR="004317A6" w:rsidRPr="00591362" w:rsidRDefault="004317A6" w:rsidP="00EF5E0F">
            <w:pPr>
              <w:pStyle w:val="NoSpacing"/>
              <w:rPr>
                <w:b/>
                <w:sz w:val="20"/>
              </w:rPr>
            </w:pPr>
            <w:r w:rsidRPr="00591362">
              <w:rPr>
                <w:b/>
                <w:sz w:val="20"/>
              </w:rPr>
              <w:t>Measurement or calculation method</w:t>
            </w:r>
          </w:p>
        </w:tc>
        <w:tc>
          <w:tcPr>
            <w:tcW w:w="7051" w:type="dxa"/>
            <w:shd w:val="clear" w:color="auto" w:fill="auto"/>
          </w:tcPr>
          <w:p w:rsidR="004317A6" w:rsidRPr="00591362" w:rsidRDefault="004317A6" w:rsidP="00294A18">
            <w:pPr>
              <w:pStyle w:val="NoSpacing"/>
              <w:rPr>
                <w:sz w:val="20"/>
              </w:rPr>
            </w:pPr>
            <w:r>
              <w:rPr>
                <w:sz w:val="20"/>
              </w:rPr>
              <w:t xml:space="preserve">This can be based on Tier 2/3 method (Copert) by multiplying distance driven with the </w:t>
            </w:r>
            <w:r w:rsidR="00294A18">
              <w:rPr>
                <w:sz w:val="20"/>
              </w:rPr>
              <w:t xml:space="preserve">PM and </w:t>
            </w:r>
            <w:r>
              <w:rPr>
                <w:sz w:val="20"/>
              </w:rPr>
              <w:t>NO</w:t>
            </w:r>
            <w:r w:rsidRPr="00294A18">
              <w:rPr>
                <w:sz w:val="20"/>
                <w:vertAlign w:val="subscript"/>
              </w:rPr>
              <w:t>x</w:t>
            </w:r>
            <w:r>
              <w:rPr>
                <w:sz w:val="20"/>
              </w:rPr>
              <w:t xml:space="preserve"> emission factor for </w:t>
            </w:r>
            <w:r w:rsidR="00294A18">
              <w:rPr>
                <w:sz w:val="20"/>
              </w:rPr>
              <w:t>buses and trucks</w:t>
            </w:r>
            <w:r>
              <w:rPr>
                <w:sz w:val="20"/>
              </w:rPr>
              <w:t>.</w:t>
            </w:r>
            <w:r w:rsidR="00294A18">
              <w:rPr>
                <w:sz w:val="20"/>
              </w:rPr>
              <w:t xml:space="preserve"> This needs to be adjusted based on the average Euro standard of buses and trucks circulating in Bangladesh. Latter can be based on vehicle registration statistics or surveys. The reduced emissions are based on the difference between pkm and tkm monitored and baseline divided by the average load factor bus and truck. This results in the additional distance driven per annum of trucks and buses in absence of the rail NAMA.</w:t>
            </w:r>
          </w:p>
        </w:tc>
      </w:tr>
      <w:tr w:rsidR="004317A6" w:rsidTr="00EF5E0F">
        <w:tc>
          <w:tcPr>
            <w:tcW w:w="2235" w:type="dxa"/>
            <w:shd w:val="clear" w:color="auto" w:fill="C6D9F1"/>
          </w:tcPr>
          <w:p w:rsidR="004317A6" w:rsidRPr="00591362" w:rsidRDefault="004317A6" w:rsidP="00EF5E0F">
            <w:pPr>
              <w:pStyle w:val="NoSpacing"/>
              <w:rPr>
                <w:b/>
                <w:sz w:val="20"/>
              </w:rPr>
            </w:pPr>
            <w:r w:rsidRPr="00591362">
              <w:rPr>
                <w:b/>
                <w:sz w:val="20"/>
              </w:rPr>
              <w:t>Comment</w:t>
            </w:r>
          </w:p>
        </w:tc>
        <w:tc>
          <w:tcPr>
            <w:tcW w:w="7051" w:type="dxa"/>
            <w:shd w:val="clear" w:color="auto" w:fill="auto"/>
          </w:tcPr>
          <w:p w:rsidR="004317A6" w:rsidRPr="00591362" w:rsidRDefault="004317A6" w:rsidP="00EF5E0F">
            <w:pPr>
              <w:pStyle w:val="NoSpacing"/>
              <w:rPr>
                <w:sz w:val="20"/>
              </w:rPr>
            </w:pPr>
            <w:r>
              <w:rPr>
                <w:sz w:val="20"/>
              </w:rPr>
              <w:t>Major SD indicator</w:t>
            </w:r>
          </w:p>
        </w:tc>
      </w:tr>
    </w:tbl>
    <w:p w:rsidR="00294A18" w:rsidRDefault="00294A18" w:rsidP="00294A18"/>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198"/>
        <w:gridCol w:w="6798"/>
      </w:tblGrid>
      <w:tr w:rsidR="00294A18" w:rsidTr="00294A18">
        <w:tc>
          <w:tcPr>
            <w:tcW w:w="2198" w:type="dxa"/>
            <w:shd w:val="clear" w:color="auto" w:fill="C6D9F1"/>
          </w:tcPr>
          <w:p w:rsidR="00294A18" w:rsidRPr="00591362" w:rsidRDefault="00294A18" w:rsidP="00EF5E0F">
            <w:pPr>
              <w:pStyle w:val="NoSpacing"/>
              <w:rPr>
                <w:b/>
                <w:sz w:val="20"/>
              </w:rPr>
            </w:pPr>
            <w:r>
              <w:rPr>
                <w:b/>
                <w:sz w:val="20"/>
              </w:rPr>
              <w:t>ID</w:t>
            </w:r>
          </w:p>
        </w:tc>
        <w:tc>
          <w:tcPr>
            <w:tcW w:w="6798" w:type="dxa"/>
            <w:shd w:val="clear" w:color="auto" w:fill="auto"/>
          </w:tcPr>
          <w:p w:rsidR="00294A18" w:rsidRPr="00860ABC" w:rsidRDefault="00294A18" w:rsidP="00EF5E0F">
            <w:pPr>
              <w:pStyle w:val="NoSpacing"/>
              <w:rPr>
                <w:b/>
                <w:sz w:val="20"/>
              </w:rPr>
            </w:pPr>
            <w:r>
              <w:rPr>
                <w:b/>
                <w:sz w:val="20"/>
              </w:rPr>
              <w:t>R5</w:t>
            </w:r>
          </w:p>
        </w:tc>
      </w:tr>
      <w:tr w:rsidR="00294A18" w:rsidTr="00294A18">
        <w:tc>
          <w:tcPr>
            <w:tcW w:w="2198" w:type="dxa"/>
            <w:shd w:val="clear" w:color="auto" w:fill="C6D9F1"/>
          </w:tcPr>
          <w:p w:rsidR="00294A18" w:rsidRPr="00591362" w:rsidRDefault="00294A18" w:rsidP="00EF5E0F">
            <w:pPr>
              <w:pStyle w:val="NoSpacing"/>
              <w:rPr>
                <w:b/>
                <w:sz w:val="20"/>
              </w:rPr>
            </w:pPr>
            <w:r w:rsidRPr="00591362">
              <w:rPr>
                <w:b/>
                <w:sz w:val="20"/>
              </w:rPr>
              <w:t>Indicator</w:t>
            </w:r>
          </w:p>
        </w:tc>
        <w:tc>
          <w:tcPr>
            <w:tcW w:w="6798" w:type="dxa"/>
            <w:shd w:val="clear" w:color="auto" w:fill="auto"/>
          </w:tcPr>
          <w:p w:rsidR="00294A18" w:rsidRPr="00591362" w:rsidRDefault="00294A18" w:rsidP="00EF5E0F">
            <w:pPr>
              <w:pStyle w:val="NoSpacing"/>
              <w:rPr>
                <w:sz w:val="20"/>
              </w:rPr>
            </w:pPr>
            <w:r>
              <w:rPr>
                <w:sz w:val="20"/>
              </w:rPr>
              <w:t>Fatalities</w:t>
            </w:r>
          </w:p>
        </w:tc>
      </w:tr>
      <w:tr w:rsidR="00294A18" w:rsidTr="00294A18">
        <w:tc>
          <w:tcPr>
            <w:tcW w:w="2198" w:type="dxa"/>
            <w:shd w:val="clear" w:color="auto" w:fill="C6D9F1"/>
          </w:tcPr>
          <w:p w:rsidR="00294A18" w:rsidRPr="00591362" w:rsidRDefault="00294A18" w:rsidP="00EF5E0F">
            <w:pPr>
              <w:pStyle w:val="NoSpacing"/>
              <w:rPr>
                <w:b/>
                <w:sz w:val="20"/>
              </w:rPr>
            </w:pPr>
            <w:r w:rsidRPr="00591362">
              <w:rPr>
                <w:b/>
                <w:sz w:val="20"/>
              </w:rPr>
              <w:t>Description</w:t>
            </w:r>
          </w:p>
        </w:tc>
        <w:tc>
          <w:tcPr>
            <w:tcW w:w="6798" w:type="dxa"/>
            <w:shd w:val="clear" w:color="auto" w:fill="auto"/>
          </w:tcPr>
          <w:p w:rsidR="00294A18" w:rsidRPr="00591362" w:rsidRDefault="00294A18" w:rsidP="00EF5E0F">
            <w:pPr>
              <w:pStyle w:val="NoSpacing"/>
              <w:rPr>
                <w:sz w:val="20"/>
              </w:rPr>
            </w:pPr>
            <w:r>
              <w:rPr>
                <w:sz w:val="20"/>
              </w:rPr>
              <w:t>Transportation fatalities reduced</w:t>
            </w:r>
          </w:p>
        </w:tc>
      </w:tr>
      <w:tr w:rsidR="00294A18" w:rsidTr="00294A18">
        <w:tc>
          <w:tcPr>
            <w:tcW w:w="2198" w:type="dxa"/>
            <w:shd w:val="clear" w:color="auto" w:fill="C6D9F1"/>
          </w:tcPr>
          <w:p w:rsidR="00294A18" w:rsidRPr="00591362" w:rsidRDefault="00294A18" w:rsidP="00EF5E0F">
            <w:pPr>
              <w:pStyle w:val="NoSpacing"/>
              <w:rPr>
                <w:b/>
                <w:sz w:val="20"/>
              </w:rPr>
            </w:pPr>
            <w:r w:rsidRPr="00591362">
              <w:rPr>
                <w:b/>
                <w:sz w:val="20"/>
              </w:rPr>
              <w:t>Measurement or calculation method</w:t>
            </w:r>
          </w:p>
        </w:tc>
        <w:tc>
          <w:tcPr>
            <w:tcW w:w="6798" w:type="dxa"/>
            <w:shd w:val="clear" w:color="auto" w:fill="auto"/>
          </w:tcPr>
          <w:p w:rsidR="00294A18" w:rsidRDefault="00294A18" w:rsidP="00EF5E0F">
            <w:pPr>
              <w:pStyle w:val="NoSpacing"/>
              <w:rPr>
                <w:sz w:val="20"/>
              </w:rPr>
            </w:pPr>
            <w:r>
              <w:rPr>
                <w:sz w:val="20"/>
              </w:rPr>
              <w:t xml:space="preserve">The train fatalities are monitored. The road fatalities are calculated based on the default </w:t>
            </w:r>
            <w:r w:rsidR="00CC0CF1">
              <w:rPr>
                <w:sz w:val="20"/>
              </w:rPr>
              <w:t>indicator of road fatalities per million bus-km and per million tkm.</w:t>
            </w:r>
          </w:p>
          <w:p w:rsidR="00294A18" w:rsidRPr="00591362" w:rsidRDefault="00294A18" w:rsidP="00CC0CF1">
            <w:pPr>
              <w:pStyle w:val="NoSpacing"/>
              <w:rPr>
                <w:sz w:val="20"/>
              </w:rPr>
            </w:pPr>
            <w:r>
              <w:rPr>
                <w:sz w:val="20"/>
              </w:rPr>
              <w:t xml:space="preserve">The </w:t>
            </w:r>
            <w:r w:rsidR="00CC0CF1">
              <w:rPr>
                <w:sz w:val="20"/>
              </w:rPr>
              <w:t xml:space="preserve">additional distance driven of buses and trucks is calculated idem to R4 </w:t>
            </w:r>
            <w:r>
              <w:rPr>
                <w:sz w:val="20"/>
              </w:rPr>
              <w:t xml:space="preserve">based on the difference between pkm and tkm monitored and baseline divided by the average load factor bus and truck. </w:t>
            </w:r>
          </w:p>
        </w:tc>
      </w:tr>
      <w:tr w:rsidR="00294A18" w:rsidTr="00294A18">
        <w:tc>
          <w:tcPr>
            <w:tcW w:w="2198" w:type="dxa"/>
            <w:shd w:val="clear" w:color="auto" w:fill="C6D9F1"/>
          </w:tcPr>
          <w:p w:rsidR="00294A18" w:rsidRPr="00591362" w:rsidRDefault="00294A18" w:rsidP="00EF5E0F">
            <w:pPr>
              <w:pStyle w:val="NoSpacing"/>
              <w:rPr>
                <w:b/>
                <w:sz w:val="20"/>
              </w:rPr>
            </w:pPr>
            <w:r w:rsidRPr="00591362">
              <w:rPr>
                <w:b/>
                <w:sz w:val="20"/>
              </w:rPr>
              <w:t>Comment</w:t>
            </w:r>
          </w:p>
        </w:tc>
        <w:tc>
          <w:tcPr>
            <w:tcW w:w="6798" w:type="dxa"/>
            <w:shd w:val="clear" w:color="auto" w:fill="auto"/>
          </w:tcPr>
          <w:p w:rsidR="00294A18" w:rsidRPr="00591362" w:rsidRDefault="00294A18" w:rsidP="00EF5E0F">
            <w:pPr>
              <w:pStyle w:val="NoSpacing"/>
              <w:rPr>
                <w:sz w:val="20"/>
              </w:rPr>
            </w:pPr>
            <w:r>
              <w:rPr>
                <w:sz w:val="20"/>
              </w:rPr>
              <w:t>Major SD indicator</w:t>
            </w:r>
          </w:p>
        </w:tc>
      </w:tr>
    </w:tbl>
    <w:p w:rsidR="00294A18" w:rsidRDefault="00294A18" w:rsidP="00294A18"/>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198"/>
        <w:gridCol w:w="6798"/>
      </w:tblGrid>
      <w:tr w:rsidR="00294A18" w:rsidTr="00294A18">
        <w:tc>
          <w:tcPr>
            <w:tcW w:w="2198" w:type="dxa"/>
            <w:shd w:val="clear" w:color="auto" w:fill="C6D9F1"/>
          </w:tcPr>
          <w:p w:rsidR="00294A18" w:rsidRPr="00591362" w:rsidRDefault="00294A18" w:rsidP="00EF5E0F">
            <w:pPr>
              <w:pStyle w:val="NoSpacing"/>
              <w:rPr>
                <w:b/>
                <w:sz w:val="20"/>
              </w:rPr>
            </w:pPr>
            <w:r>
              <w:rPr>
                <w:b/>
                <w:sz w:val="20"/>
              </w:rPr>
              <w:t>ID</w:t>
            </w:r>
          </w:p>
        </w:tc>
        <w:tc>
          <w:tcPr>
            <w:tcW w:w="6798" w:type="dxa"/>
            <w:shd w:val="clear" w:color="auto" w:fill="auto"/>
          </w:tcPr>
          <w:p w:rsidR="00294A18" w:rsidRPr="00860ABC" w:rsidRDefault="00CC0CF1" w:rsidP="00EF5E0F">
            <w:pPr>
              <w:pStyle w:val="NoSpacing"/>
              <w:rPr>
                <w:b/>
                <w:sz w:val="20"/>
              </w:rPr>
            </w:pPr>
            <w:r>
              <w:rPr>
                <w:b/>
                <w:sz w:val="20"/>
              </w:rPr>
              <w:t>R6</w:t>
            </w:r>
          </w:p>
        </w:tc>
      </w:tr>
      <w:tr w:rsidR="00294A18" w:rsidTr="00294A18">
        <w:tc>
          <w:tcPr>
            <w:tcW w:w="2198" w:type="dxa"/>
            <w:shd w:val="clear" w:color="auto" w:fill="C6D9F1"/>
          </w:tcPr>
          <w:p w:rsidR="00294A18" w:rsidRPr="00591362" w:rsidRDefault="00294A18" w:rsidP="00EF5E0F">
            <w:pPr>
              <w:pStyle w:val="NoSpacing"/>
              <w:rPr>
                <w:b/>
                <w:sz w:val="20"/>
              </w:rPr>
            </w:pPr>
            <w:r w:rsidRPr="00591362">
              <w:rPr>
                <w:b/>
                <w:sz w:val="20"/>
              </w:rPr>
              <w:t>Indicator</w:t>
            </w:r>
          </w:p>
        </w:tc>
        <w:tc>
          <w:tcPr>
            <w:tcW w:w="6798" w:type="dxa"/>
            <w:shd w:val="clear" w:color="auto" w:fill="auto"/>
          </w:tcPr>
          <w:p w:rsidR="00294A18" w:rsidRPr="00591362" w:rsidRDefault="00CC0CF1" w:rsidP="00EF5E0F">
            <w:pPr>
              <w:pStyle w:val="NoSpacing"/>
              <w:rPr>
                <w:sz w:val="20"/>
              </w:rPr>
            </w:pPr>
            <w:r>
              <w:rPr>
                <w:sz w:val="20"/>
              </w:rPr>
              <w:t>MUSD</w:t>
            </w:r>
          </w:p>
        </w:tc>
      </w:tr>
      <w:tr w:rsidR="00294A18" w:rsidTr="00294A18">
        <w:tc>
          <w:tcPr>
            <w:tcW w:w="2198" w:type="dxa"/>
            <w:shd w:val="clear" w:color="auto" w:fill="C6D9F1"/>
          </w:tcPr>
          <w:p w:rsidR="00294A18" w:rsidRPr="00591362" w:rsidRDefault="00294A18" w:rsidP="00EF5E0F">
            <w:pPr>
              <w:pStyle w:val="NoSpacing"/>
              <w:rPr>
                <w:b/>
                <w:sz w:val="20"/>
              </w:rPr>
            </w:pPr>
            <w:r w:rsidRPr="00591362">
              <w:rPr>
                <w:b/>
                <w:sz w:val="20"/>
              </w:rPr>
              <w:t>Description</w:t>
            </w:r>
          </w:p>
        </w:tc>
        <w:tc>
          <w:tcPr>
            <w:tcW w:w="6798" w:type="dxa"/>
            <w:shd w:val="clear" w:color="auto" w:fill="auto"/>
          </w:tcPr>
          <w:p w:rsidR="00294A18" w:rsidRPr="00591362" w:rsidRDefault="00CC0CF1" w:rsidP="00CC0CF1">
            <w:pPr>
              <w:pStyle w:val="NoSpacing"/>
              <w:rPr>
                <w:sz w:val="20"/>
              </w:rPr>
            </w:pPr>
            <w:r>
              <w:rPr>
                <w:sz w:val="20"/>
              </w:rPr>
              <w:t>Cost savings due to SD impacts</w:t>
            </w:r>
          </w:p>
        </w:tc>
      </w:tr>
      <w:tr w:rsidR="00294A18" w:rsidTr="00294A18">
        <w:tc>
          <w:tcPr>
            <w:tcW w:w="2198" w:type="dxa"/>
            <w:shd w:val="clear" w:color="auto" w:fill="C6D9F1"/>
          </w:tcPr>
          <w:p w:rsidR="00294A18" w:rsidRPr="00591362" w:rsidRDefault="00294A18" w:rsidP="00EF5E0F">
            <w:pPr>
              <w:pStyle w:val="NoSpacing"/>
              <w:rPr>
                <w:b/>
                <w:sz w:val="20"/>
              </w:rPr>
            </w:pPr>
            <w:r w:rsidRPr="00591362">
              <w:rPr>
                <w:b/>
                <w:sz w:val="20"/>
              </w:rPr>
              <w:t>Measurement or calculation method</w:t>
            </w:r>
          </w:p>
        </w:tc>
        <w:tc>
          <w:tcPr>
            <w:tcW w:w="6798" w:type="dxa"/>
            <w:shd w:val="clear" w:color="auto" w:fill="auto"/>
          </w:tcPr>
          <w:p w:rsidR="00294A18" w:rsidRDefault="00CC0CF1" w:rsidP="00EF5E0F">
            <w:pPr>
              <w:pStyle w:val="NoSpacing"/>
              <w:rPr>
                <w:sz w:val="20"/>
              </w:rPr>
            </w:pPr>
            <w:r>
              <w:rPr>
                <w:sz w:val="20"/>
              </w:rPr>
              <w:t>Sum of cost savings of reduced diesel fuel consumption (saved diesel fuel multiplied by reference cost diesel), accident cost savings (default value per km and additional km driven of buses and trucks) and avoided air pollution (based on tons of PM and NO</w:t>
            </w:r>
            <w:r w:rsidRPr="00CC0CF1">
              <w:rPr>
                <w:sz w:val="20"/>
                <w:vertAlign w:val="subscript"/>
              </w:rPr>
              <w:t>x</w:t>
            </w:r>
            <w:r>
              <w:rPr>
                <w:sz w:val="20"/>
              </w:rPr>
              <w:t xml:space="preserve"> avoided multiplied with default cost factor per ton of NO</w:t>
            </w:r>
            <w:r w:rsidRPr="00CC0CF1">
              <w:rPr>
                <w:sz w:val="20"/>
                <w:vertAlign w:val="subscript"/>
              </w:rPr>
              <w:t>x</w:t>
            </w:r>
            <w:r>
              <w:rPr>
                <w:sz w:val="20"/>
              </w:rPr>
              <w:t xml:space="preserve"> and per ton of PM)</w:t>
            </w:r>
          </w:p>
          <w:p w:rsidR="007A592A" w:rsidRPr="00591362" w:rsidRDefault="007A592A" w:rsidP="00EF5E0F">
            <w:pPr>
              <w:pStyle w:val="NoSpacing"/>
              <w:rPr>
                <w:sz w:val="20"/>
              </w:rPr>
            </w:pPr>
            <w:r>
              <w:rPr>
                <w:sz w:val="20"/>
              </w:rPr>
              <w:t>Diesel fuel savings are based on actual – baseline pkm divided by the bus occupation rate to determine the bus distance driven. This is then multiplied by the specific fuel consumption. The same is applied to trucks. The sum is the fuel saved.</w:t>
            </w:r>
          </w:p>
        </w:tc>
      </w:tr>
      <w:tr w:rsidR="00294A18" w:rsidTr="00294A18">
        <w:tc>
          <w:tcPr>
            <w:tcW w:w="2198" w:type="dxa"/>
            <w:shd w:val="clear" w:color="auto" w:fill="C6D9F1"/>
          </w:tcPr>
          <w:p w:rsidR="00294A18" w:rsidRPr="00591362" w:rsidRDefault="00294A18" w:rsidP="00EF5E0F">
            <w:pPr>
              <w:pStyle w:val="NoSpacing"/>
              <w:rPr>
                <w:b/>
                <w:sz w:val="20"/>
              </w:rPr>
            </w:pPr>
            <w:r w:rsidRPr="00591362">
              <w:rPr>
                <w:b/>
                <w:sz w:val="20"/>
              </w:rPr>
              <w:t>Comment</w:t>
            </w:r>
          </w:p>
        </w:tc>
        <w:tc>
          <w:tcPr>
            <w:tcW w:w="6798" w:type="dxa"/>
            <w:shd w:val="clear" w:color="auto" w:fill="auto"/>
          </w:tcPr>
          <w:p w:rsidR="00294A18" w:rsidRPr="00591362" w:rsidRDefault="00294A18" w:rsidP="00EF5E0F">
            <w:pPr>
              <w:pStyle w:val="NoSpacing"/>
              <w:rPr>
                <w:sz w:val="20"/>
              </w:rPr>
            </w:pPr>
            <w:r>
              <w:rPr>
                <w:sz w:val="20"/>
              </w:rPr>
              <w:t>Major SD indicator</w:t>
            </w:r>
          </w:p>
        </w:tc>
      </w:tr>
    </w:tbl>
    <w:p w:rsidR="00294A18" w:rsidRDefault="00294A18" w:rsidP="00294A18"/>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198"/>
        <w:gridCol w:w="6798"/>
      </w:tblGrid>
      <w:tr w:rsidR="00294A18" w:rsidTr="00CC0CF1">
        <w:tc>
          <w:tcPr>
            <w:tcW w:w="2198" w:type="dxa"/>
            <w:shd w:val="clear" w:color="auto" w:fill="C6D9F1"/>
          </w:tcPr>
          <w:p w:rsidR="00294A18" w:rsidRPr="00591362" w:rsidRDefault="00294A18" w:rsidP="00EF5E0F">
            <w:pPr>
              <w:pStyle w:val="NoSpacing"/>
              <w:rPr>
                <w:b/>
                <w:sz w:val="20"/>
              </w:rPr>
            </w:pPr>
            <w:r>
              <w:rPr>
                <w:b/>
                <w:sz w:val="20"/>
              </w:rPr>
              <w:t>ID</w:t>
            </w:r>
          </w:p>
        </w:tc>
        <w:tc>
          <w:tcPr>
            <w:tcW w:w="6798" w:type="dxa"/>
            <w:shd w:val="clear" w:color="auto" w:fill="auto"/>
          </w:tcPr>
          <w:p w:rsidR="00294A18" w:rsidRPr="00860ABC" w:rsidRDefault="00CC0CF1" w:rsidP="00EF5E0F">
            <w:pPr>
              <w:pStyle w:val="NoSpacing"/>
              <w:rPr>
                <w:b/>
                <w:sz w:val="20"/>
              </w:rPr>
            </w:pPr>
            <w:r>
              <w:rPr>
                <w:b/>
                <w:sz w:val="20"/>
              </w:rPr>
              <w:t>R7</w:t>
            </w:r>
          </w:p>
        </w:tc>
      </w:tr>
      <w:tr w:rsidR="00294A18" w:rsidTr="00CC0CF1">
        <w:tc>
          <w:tcPr>
            <w:tcW w:w="2198" w:type="dxa"/>
            <w:shd w:val="clear" w:color="auto" w:fill="C6D9F1"/>
          </w:tcPr>
          <w:p w:rsidR="00294A18" w:rsidRPr="00591362" w:rsidRDefault="00294A18" w:rsidP="00EF5E0F">
            <w:pPr>
              <w:pStyle w:val="NoSpacing"/>
              <w:rPr>
                <w:b/>
                <w:sz w:val="20"/>
              </w:rPr>
            </w:pPr>
            <w:r w:rsidRPr="00591362">
              <w:rPr>
                <w:b/>
                <w:sz w:val="20"/>
              </w:rPr>
              <w:t>Indicator</w:t>
            </w:r>
          </w:p>
        </w:tc>
        <w:tc>
          <w:tcPr>
            <w:tcW w:w="6798" w:type="dxa"/>
            <w:shd w:val="clear" w:color="auto" w:fill="auto"/>
          </w:tcPr>
          <w:p w:rsidR="00294A18" w:rsidRPr="00591362" w:rsidRDefault="00CC0CF1" w:rsidP="00EF5E0F">
            <w:pPr>
              <w:pStyle w:val="NoSpacing"/>
              <w:rPr>
                <w:sz w:val="20"/>
              </w:rPr>
            </w:pPr>
            <w:r>
              <w:rPr>
                <w:sz w:val="20"/>
              </w:rPr>
              <w:t>Implemented actions</w:t>
            </w:r>
          </w:p>
        </w:tc>
      </w:tr>
      <w:tr w:rsidR="00294A18" w:rsidTr="00CC0CF1">
        <w:tc>
          <w:tcPr>
            <w:tcW w:w="2198" w:type="dxa"/>
            <w:shd w:val="clear" w:color="auto" w:fill="C6D9F1"/>
          </w:tcPr>
          <w:p w:rsidR="00294A18" w:rsidRPr="00591362" w:rsidRDefault="00294A18" w:rsidP="00EF5E0F">
            <w:pPr>
              <w:pStyle w:val="NoSpacing"/>
              <w:rPr>
                <w:b/>
                <w:sz w:val="20"/>
              </w:rPr>
            </w:pPr>
            <w:r w:rsidRPr="00591362">
              <w:rPr>
                <w:b/>
                <w:sz w:val="20"/>
              </w:rPr>
              <w:t>Description</w:t>
            </w:r>
          </w:p>
        </w:tc>
        <w:tc>
          <w:tcPr>
            <w:tcW w:w="6798" w:type="dxa"/>
            <w:shd w:val="clear" w:color="auto" w:fill="auto"/>
          </w:tcPr>
          <w:p w:rsidR="00294A18" w:rsidRPr="00591362" w:rsidRDefault="00CC0CF1" w:rsidP="00EF5E0F">
            <w:pPr>
              <w:pStyle w:val="NoSpacing"/>
              <w:rPr>
                <w:sz w:val="20"/>
              </w:rPr>
            </w:pPr>
            <w:r>
              <w:rPr>
                <w:sz w:val="20"/>
              </w:rPr>
              <w:t>List of mitigation actions implemented</w:t>
            </w:r>
          </w:p>
        </w:tc>
      </w:tr>
      <w:tr w:rsidR="00CC0CF1" w:rsidTr="00CC0CF1">
        <w:tc>
          <w:tcPr>
            <w:tcW w:w="2198" w:type="dxa"/>
            <w:shd w:val="clear" w:color="auto" w:fill="C6D9F1"/>
          </w:tcPr>
          <w:p w:rsidR="00CC0CF1" w:rsidRPr="00591362" w:rsidRDefault="00CC0CF1" w:rsidP="00CC0CF1">
            <w:pPr>
              <w:pStyle w:val="NoSpacing"/>
              <w:rPr>
                <w:b/>
                <w:sz w:val="20"/>
              </w:rPr>
            </w:pPr>
            <w:r w:rsidRPr="00591362">
              <w:rPr>
                <w:b/>
                <w:sz w:val="20"/>
              </w:rPr>
              <w:t>Measurement or calculation method</w:t>
            </w:r>
          </w:p>
        </w:tc>
        <w:tc>
          <w:tcPr>
            <w:tcW w:w="6798" w:type="dxa"/>
            <w:shd w:val="clear" w:color="auto" w:fill="auto"/>
          </w:tcPr>
          <w:p w:rsidR="00CC0CF1" w:rsidRPr="004B02E5" w:rsidRDefault="00CC0CF1" w:rsidP="00CC0CF1">
            <w:pPr>
              <w:pStyle w:val="NoSpacing"/>
              <w:rPr>
                <w:sz w:val="20"/>
              </w:rPr>
            </w:pPr>
            <w:r w:rsidRPr="004B02E5">
              <w:rPr>
                <w:sz w:val="20"/>
              </w:rPr>
              <w:t xml:space="preserve">Includes </w:t>
            </w:r>
            <w:r>
              <w:rPr>
                <w:sz w:val="20"/>
              </w:rPr>
              <w:t>km of new built tracks, km new built double or multiple tracks, number of new locos, carriages, wagons</w:t>
            </w:r>
            <w:r w:rsidRPr="004B02E5">
              <w:rPr>
                <w:sz w:val="20"/>
              </w:rPr>
              <w:t xml:space="preserve"> </w:t>
            </w:r>
          </w:p>
        </w:tc>
      </w:tr>
      <w:tr w:rsidR="00294A18" w:rsidTr="00CC0CF1">
        <w:tc>
          <w:tcPr>
            <w:tcW w:w="2198" w:type="dxa"/>
            <w:shd w:val="clear" w:color="auto" w:fill="C6D9F1"/>
          </w:tcPr>
          <w:p w:rsidR="00294A18" w:rsidRPr="00591362" w:rsidRDefault="00294A18" w:rsidP="00EF5E0F">
            <w:pPr>
              <w:pStyle w:val="NoSpacing"/>
              <w:rPr>
                <w:b/>
                <w:sz w:val="20"/>
              </w:rPr>
            </w:pPr>
            <w:r w:rsidRPr="00591362">
              <w:rPr>
                <w:b/>
                <w:sz w:val="20"/>
              </w:rPr>
              <w:t>Comment</w:t>
            </w:r>
          </w:p>
        </w:tc>
        <w:tc>
          <w:tcPr>
            <w:tcW w:w="6798" w:type="dxa"/>
            <w:shd w:val="clear" w:color="auto" w:fill="auto"/>
          </w:tcPr>
          <w:p w:rsidR="00294A18" w:rsidRPr="00591362" w:rsidRDefault="00294A18" w:rsidP="00CC0CF1">
            <w:pPr>
              <w:pStyle w:val="NoSpacing"/>
              <w:rPr>
                <w:sz w:val="20"/>
              </w:rPr>
            </w:pPr>
            <w:r>
              <w:rPr>
                <w:sz w:val="20"/>
              </w:rPr>
              <w:t xml:space="preserve">Major </w:t>
            </w:r>
            <w:r w:rsidR="00CC0CF1">
              <w:rPr>
                <w:sz w:val="20"/>
              </w:rPr>
              <w:t xml:space="preserve">output </w:t>
            </w:r>
            <w:r>
              <w:rPr>
                <w:sz w:val="20"/>
              </w:rPr>
              <w:t>indicator</w:t>
            </w:r>
          </w:p>
        </w:tc>
      </w:tr>
    </w:tbl>
    <w:p w:rsidR="00CC0CF1" w:rsidRDefault="00CC0CF1" w:rsidP="00CC0CF1"/>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198"/>
        <w:gridCol w:w="6798"/>
      </w:tblGrid>
      <w:tr w:rsidR="00CC0CF1" w:rsidTr="00EF5E0F">
        <w:tc>
          <w:tcPr>
            <w:tcW w:w="2198" w:type="dxa"/>
            <w:shd w:val="clear" w:color="auto" w:fill="C6D9F1"/>
          </w:tcPr>
          <w:p w:rsidR="00CC0CF1" w:rsidRPr="00591362" w:rsidRDefault="00CC0CF1" w:rsidP="00EF5E0F">
            <w:pPr>
              <w:pStyle w:val="NoSpacing"/>
              <w:rPr>
                <w:b/>
                <w:sz w:val="20"/>
              </w:rPr>
            </w:pPr>
            <w:r>
              <w:rPr>
                <w:b/>
                <w:sz w:val="20"/>
              </w:rPr>
              <w:t>ID</w:t>
            </w:r>
          </w:p>
        </w:tc>
        <w:tc>
          <w:tcPr>
            <w:tcW w:w="6798" w:type="dxa"/>
            <w:shd w:val="clear" w:color="auto" w:fill="auto"/>
          </w:tcPr>
          <w:p w:rsidR="00CC0CF1" w:rsidRPr="00860ABC" w:rsidRDefault="00CC0CF1" w:rsidP="00EF5E0F">
            <w:pPr>
              <w:pStyle w:val="NoSpacing"/>
              <w:rPr>
                <w:b/>
                <w:sz w:val="20"/>
              </w:rPr>
            </w:pPr>
            <w:r>
              <w:rPr>
                <w:b/>
                <w:sz w:val="20"/>
              </w:rPr>
              <w:t>R8</w:t>
            </w:r>
          </w:p>
        </w:tc>
      </w:tr>
      <w:tr w:rsidR="00CC0CF1" w:rsidTr="00EF5E0F">
        <w:tc>
          <w:tcPr>
            <w:tcW w:w="2198" w:type="dxa"/>
            <w:shd w:val="clear" w:color="auto" w:fill="C6D9F1"/>
          </w:tcPr>
          <w:p w:rsidR="00CC0CF1" w:rsidRPr="00591362" w:rsidRDefault="00CC0CF1" w:rsidP="00EF5E0F">
            <w:pPr>
              <w:pStyle w:val="NoSpacing"/>
              <w:rPr>
                <w:b/>
                <w:sz w:val="20"/>
              </w:rPr>
            </w:pPr>
            <w:r w:rsidRPr="00591362">
              <w:rPr>
                <w:b/>
                <w:sz w:val="20"/>
              </w:rPr>
              <w:t>Indicator</w:t>
            </w:r>
          </w:p>
        </w:tc>
        <w:tc>
          <w:tcPr>
            <w:tcW w:w="6798" w:type="dxa"/>
            <w:shd w:val="clear" w:color="auto" w:fill="auto"/>
          </w:tcPr>
          <w:p w:rsidR="00CC0CF1" w:rsidRPr="00591362" w:rsidRDefault="00CC0CF1" w:rsidP="00EF5E0F">
            <w:pPr>
              <w:pStyle w:val="NoSpacing"/>
              <w:rPr>
                <w:sz w:val="20"/>
              </w:rPr>
            </w:pPr>
            <w:r>
              <w:rPr>
                <w:sz w:val="20"/>
              </w:rPr>
              <w:t>MUSD</w:t>
            </w:r>
          </w:p>
        </w:tc>
      </w:tr>
      <w:tr w:rsidR="00CC0CF1" w:rsidTr="00EF5E0F">
        <w:tc>
          <w:tcPr>
            <w:tcW w:w="2198" w:type="dxa"/>
            <w:shd w:val="clear" w:color="auto" w:fill="C6D9F1"/>
          </w:tcPr>
          <w:p w:rsidR="00CC0CF1" w:rsidRPr="00591362" w:rsidRDefault="00CC0CF1" w:rsidP="00EF5E0F">
            <w:pPr>
              <w:pStyle w:val="NoSpacing"/>
              <w:rPr>
                <w:b/>
                <w:sz w:val="20"/>
              </w:rPr>
            </w:pPr>
            <w:r w:rsidRPr="00591362">
              <w:rPr>
                <w:b/>
                <w:sz w:val="20"/>
              </w:rPr>
              <w:lastRenderedPageBreak/>
              <w:t>Description</w:t>
            </w:r>
          </w:p>
        </w:tc>
        <w:tc>
          <w:tcPr>
            <w:tcW w:w="6798" w:type="dxa"/>
            <w:shd w:val="clear" w:color="auto" w:fill="auto"/>
          </w:tcPr>
          <w:p w:rsidR="00CC0CF1" w:rsidRPr="00591362" w:rsidRDefault="00CC0CF1" w:rsidP="00CC0CF1">
            <w:pPr>
              <w:pStyle w:val="NoSpacing"/>
              <w:rPr>
                <w:sz w:val="20"/>
              </w:rPr>
            </w:pPr>
            <w:r>
              <w:rPr>
                <w:sz w:val="20"/>
              </w:rPr>
              <w:t>Millions of USD invested in mitigation actions</w:t>
            </w:r>
          </w:p>
        </w:tc>
      </w:tr>
      <w:tr w:rsidR="00CC0CF1" w:rsidTr="00EF5E0F">
        <w:tc>
          <w:tcPr>
            <w:tcW w:w="2198" w:type="dxa"/>
            <w:shd w:val="clear" w:color="auto" w:fill="C6D9F1"/>
          </w:tcPr>
          <w:p w:rsidR="00CC0CF1" w:rsidRPr="00591362" w:rsidRDefault="00CC0CF1" w:rsidP="00EF5E0F">
            <w:pPr>
              <w:pStyle w:val="NoSpacing"/>
              <w:rPr>
                <w:b/>
                <w:sz w:val="20"/>
              </w:rPr>
            </w:pPr>
            <w:r w:rsidRPr="00591362">
              <w:rPr>
                <w:b/>
                <w:sz w:val="20"/>
              </w:rPr>
              <w:t>Measurement or calculation method</w:t>
            </w:r>
          </w:p>
        </w:tc>
        <w:tc>
          <w:tcPr>
            <w:tcW w:w="6798" w:type="dxa"/>
            <w:shd w:val="clear" w:color="auto" w:fill="auto"/>
          </w:tcPr>
          <w:p w:rsidR="00CC0CF1" w:rsidRPr="004B02E5" w:rsidRDefault="00CC0CF1" w:rsidP="00CC0CF1">
            <w:pPr>
              <w:pStyle w:val="NoSpacing"/>
              <w:rPr>
                <w:sz w:val="20"/>
              </w:rPr>
            </w:pPr>
            <w:r w:rsidRPr="004B02E5">
              <w:rPr>
                <w:sz w:val="20"/>
              </w:rPr>
              <w:t xml:space="preserve">Includes </w:t>
            </w:r>
            <w:r>
              <w:rPr>
                <w:sz w:val="20"/>
              </w:rPr>
              <w:t>investment in new built tracks, km new built double or multiple tracks, number of new locos, carriages, wagons</w:t>
            </w:r>
            <w:r w:rsidRPr="004B02E5">
              <w:rPr>
                <w:sz w:val="20"/>
              </w:rPr>
              <w:t xml:space="preserve"> </w:t>
            </w:r>
          </w:p>
        </w:tc>
      </w:tr>
      <w:tr w:rsidR="00CC0CF1" w:rsidTr="00EF5E0F">
        <w:tc>
          <w:tcPr>
            <w:tcW w:w="2198" w:type="dxa"/>
            <w:shd w:val="clear" w:color="auto" w:fill="C6D9F1"/>
          </w:tcPr>
          <w:p w:rsidR="00CC0CF1" w:rsidRPr="00591362" w:rsidRDefault="00CC0CF1" w:rsidP="00EF5E0F">
            <w:pPr>
              <w:pStyle w:val="NoSpacing"/>
              <w:rPr>
                <w:b/>
                <w:sz w:val="20"/>
              </w:rPr>
            </w:pPr>
            <w:r w:rsidRPr="00591362">
              <w:rPr>
                <w:b/>
                <w:sz w:val="20"/>
              </w:rPr>
              <w:t>Comment</w:t>
            </w:r>
          </w:p>
        </w:tc>
        <w:tc>
          <w:tcPr>
            <w:tcW w:w="6798" w:type="dxa"/>
            <w:shd w:val="clear" w:color="auto" w:fill="auto"/>
          </w:tcPr>
          <w:p w:rsidR="00CC0CF1" w:rsidRPr="00591362" w:rsidRDefault="00CC0CF1" w:rsidP="00EF5E0F">
            <w:pPr>
              <w:pStyle w:val="NoSpacing"/>
              <w:rPr>
                <w:sz w:val="20"/>
              </w:rPr>
            </w:pPr>
            <w:r>
              <w:rPr>
                <w:sz w:val="20"/>
              </w:rPr>
              <w:t>Major output indicator</w:t>
            </w:r>
          </w:p>
        </w:tc>
      </w:tr>
    </w:tbl>
    <w:p w:rsidR="003444B1" w:rsidRDefault="00CC0CF1" w:rsidP="00CC0CF1">
      <w:pPr>
        <w:pStyle w:val="Heading2"/>
      </w:pPr>
      <w:bookmarkStart w:id="54" w:name="_Toc466207380"/>
      <w:r>
        <w:t>A2.2. Annually Monitored Parameters</w:t>
      </w:r>
      <w:bookmarkEnd w:id="54"/>
    </w:p>
    <w:p w:rsidR="00CC0CF1" w:rsidRPr="00081A01" w:rsidRDefault="00CC0CF1" w:rsidP="00CC0CF1">
      <w:pPr>
        <w:pStyle w:val="NoSpacing"/>
      </w:pP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28" w:type="dxa"/>
          <w:bottom w:w="28" w:type="dxa"/>
        </w:tblCellMar>
        <w:tblLook w:val="01E0" w:firstRow="1" w:lastRow="1" w:firstColumn="1" w:lastColumn="1" w:noHBand="0" w:noVBand="0"/>
      </w:tblPr>
      <w:tblGrid>
        <w:gridCol w:w="2164"/>
        <w:gridCol w:w="6832"/>
      </w:tblGrid>
      <w:tr w:rsidR="00CC0CF1" w:rsidRPr="00591362" w:rsidTr="00EF5E0F">
        <w:trPr>
          <w:cantSplit/>
        </w:trPr>
        <w:tc>
          <w:tcPr>
            <w:tcW w:w="1203" w:type="pct"/>
            <w:shd w:val="clear" w:color="auto" w:fill="C6D9F1"/>
            <w:tcMar>
              <w:top w:w="62" w:type="dxa"/>
              <w:bottom w:w="62" w:type="dxa"/>
            </w:tcMar>
          </w:tcPr>
          <w:p w:rsidR="00CC0CF1" w:rsidRPr="00591362" w:rsidRDefault="00CC0CF1" w:rsidP="00EF5E0F">
            <w:pPr>
              <w:pStyle w:val="NoSpacing"/>
              <w:rPr>
                <w:b/>
                <w:sz w:val="20"/>
                <w:szCs w:val="20"/>
              </w:rPr>
            </w:pPr>
            <w:r w:rsidRPr="00591362">
              <w:rPr>
                <w:b/>
                <w:sz w:val="20"/>
                <w:szCs w:val="20"/>
              </w:rPr>
              <w:t>ID</w:t>
            </w:r>
          </w:p>
        </w:tc>
        <w:tc>
          <w:tcPr>
            <w:tcW w:w="3797" w:type="pct"/>
            <w:shd w:val="clear" w:color="auto" w:fill="auto"/>
            <w:tcMar>
              <w:top w:w="62" w:type="dxa"/>
              <w:bottom w:w="62" w:type="dxa"/>
            </w:tcMar>
          </w:tcPr>
          <w:p w:rsidR="00CC0CF1" w:rsidRPr="00DE6723" w:rsidRDefault="00CC0CF1" w:rsidP="00EF5E0F">
            <w:pPr>
              <w:pStyle w:val="NoSpacing"/>
              <w:rPr>
                <w:rFonts w:cs="Arial"/>
                <w:b/>
                <w:sz w:val="20"/>
                <w:szCs w:val="20"/>
              </w:rPr>
            </w:pPr>
            <w:r>
              <w:rPr>
                <w:rFonts w:cs="Arial"/>
                <w:b/>
                <w:sz w:val="20"/>
                <w:szCs w:val="20"/>
              </w:rPr>
              <w:t>1</w:t>
            </w:r>
          </w:p>
        </w:tc>
      </w:tr>
      <w:tr w:rsidR="00CC0CF1" w:rsidRPr="00591362" w:rsidTr="00EF5E0F">
        <w:trPr>
          <w:cantSplit/>
        </w:trPr>
        <w:tc>
          <w:tcPr>
            <w:tcW w:w="1203" w:type="pct"/>
            <w:shd w:val="clear" w:color="auto" w:fill="C6D9F1"/>
            <w:tcMar>
              <w:top w:w="62" w:type="dxa"/>
              <w:bottom w:w="62" w:type="dxa"/>
            </w:tcMar>
          </w:tcPr>
          <w:p w:rsidR="00CC0CF1" w:rsidRPr="00591362" w:rsidRDefault="00CC0CF1" w:rsidP="00EF5E0F">
            <w:pPr>
              <w:pStyle w:val="NoSpacing"/>
              <w:rPr>
                <w:b/>
                <w:sz w:val="20"/>
                <w:szCs w:val="20"/>
              </w:rPr>
            </w:pPr>
            <w:r w:rsidRPr="00591362">
              <w:rPr>
                <w:b/>
                <w:sz w:val="20"/>
                <w:szCs w:val="20"/>
              </w:rPr>
              <w:t>Parameter:</w:t>
            </w:r>
          </w:p>
        </w:tc>
        <w:tc>
          <w:tcPr>
            <w:tcW w:w="3797" w:type="pct"/>
            <w:shd w:val="clear" w:color="auto" w:fill="auto"/>
            <w:tcMar>
              <w:top w:w="62" w:type="dxa"/>
              <w:bottom w:w="62" w:type="dxa"/>
            </w:tcMar>
          </w:tcPr>
          <w:p w:rsidR="00CC0CF1" w:rsidRPr="00591362" w:rsidRDefault="00CC0CF1" w:rsidP="00EF5E0F">
            <w:pPr>
              <w:pStyle w:val="NoSpacing"/>
              <w:rPr>
                <w:rFonts w:cs="Arial"/>
                <w:sz w:val="20"/>
                <w:szCs w:val="20"/>
              </w:rPr>
            </w:pPr>
            <w:r w:rsidRPr="00591362">
              <w:rPr>
                <w:rFonts w:cs="Arial"/>
                <w:sz w:val="20"/>
                <w:szCs w:val="20"/>
              </w:rPr>
              <w:t>FC</w:t>
            </w:r>
          </w:p>
        </w:tc>
      </w:tr>
      <w:tr w:rsidR="00CC0CF1" w:rsidRPr="00591362" w:rsidTr="00EF5E0F">
        <w:trPr>
          <w:cantSplit/>
        </w:trPr>
        <w:tc>
          <w:tcPr>
            <w:tcW w:w="1203" w:type="pct"/>
            <w:shd w:val="clear" w:color="auto" w:fill="C6D9F1"/>
          </w:tcPr>
          <w:p w:rsidR="00CC0CF1" w:rsidRPr="00591362" w:rsidRDefault="00CC0CF1" w:rsidP="00EF5E0F">
            <w:pPr>
              <w:pStyle w:val="NoSpacing"/>
              <w:rPr>
                <w:b/>
                <w:sz w:val="20"/>
                <w:szCs w:val="20"/>
              </w:rPr>
            </w:pPr>
            <w:r w:rsidRPr="00591362">
              <w:rPr>
                <w:b/>
                <w:sz w:val="20"/>
                <w:szCs w:val="20"/>
              </w:rPr>
              <w:t>Unit:</w:t>
            </w:r>
          </w:p>
        </w:tc>
        <w:tc>
          <w:tcPr>
            <w:tcW w:w="3797" w:type="pct"/>
            <w:shd w:val="clear" w:color="auto" w:fill="auto"/>
          </w:tcPr>
          <w:p w:rsidR="00CC0CF1" w:rsidRPr="00591362" w:rsidRDefault="00CC0CF1" w:rsidP="00EF5E0F">
            <w:pPr>
              <w:pStyle w:val="NoSpacing"/>
              <w:rPr>
                <w:rFonts w:cs="Arial"/>
                <w:sz w:val="20"/>
                <w:szCs w:val="20"/>
              </w:rPr>
            </w:pPr>
            <w:r>
              <w:rPr>
                <w:rFonts w:cs="Arial"/>
                <w:sz w:val="20"/>
                <w:szCs w:val="20"/>
              </w:rPr>
              <w:t>Tons or l</w:t>
            </w:r>
            <w:r w:rsidR="00932907">
              <w:rPr>
                <w:rFonts w:cs="Arial"/>
                <w:sz w:val="20"/>
                <w:szCs w:val="20"/>
              </w:rPr>
              <w:t>it</w:t>
            </w:r>
            <w:r w:rsidRPr="00591362">
              <w:rPr>
                <w:rFonts w:cs="Arial"/>
                <w:sz w:val="20"/>
                <w:szCs w:val="20"/>
              </w:rPr>
              <w:t>r</w:t>
            </w:r>
            <w:r w:rsidR="00932907">
              <w:rPr>
                <w:rFonts w:cs="Arial"/>
                <w:sz w:val="20"/>
                <w:szCs w:val="20"/>
              </w:rPr>
              <w:t>e</w:t>
            </w:r>
            <w:r w:rsidRPr="00591362">
              <w:rPr>
                <w:rFonts w:cs="Arial"/>
                <w:sz w:val="20"/>
                <w:szCs w:val="20"/>
              </w:rPr>
              <w:t>s</w:t>
            </w:r>
          </w:p>
        </w:tc>
      </w:tr>
      <w:tr w:rsidR="00CC0CF1" w:rsidRPr="00591362" w:rsidTr="00EF5E0F">
        <w:trPr>
          <w:cantSplit/>
        </w:trPr>
        <w:tc>
          <w:tcPr>
            <w:tcW w:w="1203" w:type="pct"/>
            <w:shd w:val="clear" w:color="auto" w:fill="C6D9F1"/>
          </w:tcPr>
          <w:p w:rsidR="00CC0CF1" w:rsidRPr="00591362" w:rsidRDefault="00CC0CF1" w:rsidP="00EF5E0F">
            <w:pPr>
              <w:pStyle w:val="NoSpacing"/>
              <w:rPr>
                <w:b/>
                <w:sz w:val="20"/>
                <w:szCs w:val="20"/>
              </w:rPr>
            </w:pPr>
            <w:r w:rsidRPr="00591362">
              <w:rPr>
                <w:b/>
                <w:sz w:val="20"/>
                <w:szCs w:val="20"/>
              </w:rPr>
              <w:t>Description:</w:t>
            </w:r>
          </w:p>
        </w:tc>
        <w:tc>
          <w:tcPr>
            <w:tcW w:w="3797" w:type="pct"/>
            <w:shd w:val="clear" w:color="auto" w:fill="auto"/>
          </w:tcPr>
          <w:p w:rsidR="00CC0CF1" w:rsidRPr="00591362" w:rsidRDefault="00CC0CF1" w:rsidP="00CC0CF1">
            <w:pPr>
              <w:pStyle w:val="NoSpacing"/>
              <w:rPr>
                <w:rFonts w:cs="Arial"/>
                <w:sz w:val="20"/>
                <w:szCs w:val="20"/>
              </w:rPr>
            </w:pPr>
            <w:r w:rsidRPr="00591362">
              <w:rPr>
                <w:rFonts w:cs="Arial"/>
                <w:sz w:val="20"/>
                <w:szCs w:val="20"/>
              </w:rPr>
              <w:t xml:space="preserve">Fuel consumption of </w:t>
            </w:r>
            <w:r>
              <w:rPr>
                <w:rFonts w:cs="Arial"/>
                <w:sz w:val="20"/>
                <w:szCs w:val="20"/>
              </w:rPr>
              <w:t xml:space="preserve">diesel for traction inter-urban rail </w:t>
            </w:r>
            <w:r w:rsidRPr="00591362">
              <w:rPr>
                <w:rFonts w:cs="Arial"/>
                <w:sz w:val="20"/>
                <w:szCs w:val="20"/>
              </w:rPr>
              <w:t>(per annum)</w:t>
            </w:r>
          </w:p>
        </w:tc>
      </w:tr>
      <w:tr w:rsidR="00CC0CF1" w:rsidRPr="00591362" w:rsidTr="00EF5E0F">
        <w:trPr>
          <w:cantSplit/>
        </w:trPr>
        <w:tc>
          <w:tcPr>
            <w:tcW w:w="1203" w:type="pct"/>
            <w:shd w:val="clear" w:color="auto" w:fill="C6D9F1"/>
          </w:tcPr>
          <w:p w:rsidR="00CC0CF1" w:rsidRPr="00591362" w:rsidRDefault="00CC0CF1" w:rsidP="00EF5E0F">
            <w:pPr>
              <w:pStyle w:val="NoSpacing"/>
              <w:rPr>
                <w:b/>
                <w:sz w:val="20"/>
                <w:szCs w:val="20"/>
              </w:rPr>
            </w:pPr>
            <w:r w:rsidRPr="00591362">
              <w:rPr>
                <w:b/>
                <w:sz w:val="20"/>
                <w:szCs w:val="20"/>
              </w:rPr>
              <w:t>Source of data:</w:t>
            </w:r>
          </w:p>
        </w:tc>
        <w:tc>
          <w:tcPr>
            <w:tcW w:w="3797" w:type="pct"/>
            <w:shd w:val="clear" w:color="auto" w:fill="auto"/>
          </w:tcPr>
          <w:p w:rsidR="00CC0CF1" w:rsidRPr="00591362" w:rsidRDefault="00CC0CF1" w:rsidP="00EF5E0F">
            <w:pPr>
              <w:pStyle w:val="NoSpacing"/>
              <w:rPr>
                <w:rFonts w:cs="Arial"/>
                <w:sz w:val="20"/>
                <w:szCs w:val="20"/>
                <w:lang w:eastAsia="es-ES"/>
              </w:rPr>
            </w:pPr>
            <w:r>
              <w:rPr>
                <w:rFonts w:cs="Arial"/>
                <w:sz w:val="20"/>
                <w:szCs w:val="20"/>
                <w:lang w:eastAsia="es-ES"/>
              </w:rPr>
              <w:t>BR</w:t>
            </w:r>
          </w:p>
        </w:tc>
      </w:tr>
      <w:tr w:rsidR="00CC0CF1" w:rsidRPr="00591362" w:rsidTr="00EF5E0F">
        <w:trPr>
          <w:cantSplit/>
        </w:trPr>
        <w:tc>
          <w:tcPr>
            <w:tcW w:w="1203" w:type="pct"/>
            <w:shd w:val="clear" w:color="auto" w:fill="C6D9F1"/>
          </w:tcPr>
          <w:p w:rsidR="00CC0CF1" w:rsidRPr="00591362" w:rsidRDefault="00CC0CF1" w:rsidP="00EF5E0F">
            <w:pPr>
              <w:pStyle w:val="NoSpacing"/>
              <w:rPr>
                <w:b/>
                <w:sz w:val="20"/>
                <w:szCs w:val="20"/>
              </w:rPr>
            </w:pPr>
            <w:r w:rsidRPr="00591362">
              <w:rPr>
                <w:b/>
                <w:sz w:val="20"/>
                <w:szCs w:val="20"/>
              </w:rPr>
              <w:t>Monitoring method:</w:t>
            </w:r>
          </w:p>
        </w:tc>
        <w:tc>
          <w:tcPr>
            <w:tcW w:w="3797" w:type="pct"/>
            <w:shd w:val="clear" w:color="auto" w:fill="auto"/>
          </w:tcPr>
          <w:p w:rsidR="00CC0CF1" w:rsidRPr="00591362" w:rsidRDefault="00CC0CF1" w:rsidP="00CC0CF1">
            <w:pPr>
              <w:pStyle w:val="NoSpacing"/>
              <w:rPr>
                <w:rFonts w:cs="Arial"/>
                <w:sz w:val="20"/>
                <w:szCs w:val="20"/>
                <w:lang w:eastAsia="ja-JP"/>
              </w:rPr>
            </w:pPr>
            <w:r>
              <w:rPr>
                <w:rFonts w:cs="Arial"/>
                <w:sz w:val="20"/>
                <w:szCs w:val="20"/>
                <w:lang w:eastAsia="ja-JP"/>
              </w:rPr>
              <w:t>BR records</w:t>
            </w:r>
          </w:p>
        </w:tc>
      </w:tr>
      <w:tr w:rsidR="00CC0CF1" w:rsidRPr="00591362" w:rsidTr="00EF5E0F">
        <w:trPr>
          <w:cantSplit/>
        </w:trPr>
        <w:tc>
          <w:tcPr>
            <w:tcW w:w="1203" w:type="pct"/>
            <w:shd w:val="clear" w:color="auto" w:fill="C6D9F1"/>
          </w:tcPr>
          <w:p w:rsidR="00CC0CF1" w:rsidRPr="00591362" w:rsidRDefault="00CC0CF1" w:rsidP="00EF5E0F">
            <w:pPr>
              <w:pStyle w:val="NoSpacing"/>
              <w:rPr>
                <w:b/>
                <w:sz w:val="20"/>
                <w:szCs w:val="20"/>
              </w:rPr>
            </w:pPr>
            <w:r w:rsidRPr="00591362">
              <w:rPr>
                <w:b/>
                <w:sz w:val="20"/>
                <w:szCs w:val="20"/>
              </w:rPr>
              <w:t>Measuring frequency:</w:t>
            </w:r>
          </w:p>
        </w:tc>
        <w:tc>
          <w:tcPr>
            <w:tcW w:w="3797" w:type="pct"/>
            <w:shd w:val="clear" w:color="auto" w:fill="auto"/>
          </w:tcPr>
          <w:p w:rsidR="00CC0CF1" w:rsidRPr="00591362" w:rsidRDefault="00CC0CF1" w:rsidP="00CC0CF1">
            <w:pPr>
              <w:pStyle w:val="NoSpacing"/>
              <w:rPr>
                <w:rFonts w:cs="Arial"/>
                <w:sz w:val="20"/>
                <w:szCs w:val="20"/>
              </w:rPr>
            </w:pPr>
            <w:r w:rsidRPr="00591362">
              <w:rPr>
                <w:rFonts w:cs="Arial"/>
                <w:sz w:val="20"/>
                <w:szCs w:val="20"/>
              </w:rPr>
              <w:t xml:space="preserve">Continuous </w:t>
            </w:r>
            <w:r>
              <w:rPr>
                <w:rFonts w:cs="Arial"/>
                <w:sz w:val="20"/>
                <w:szCs w:val="20"/>
              </w:rPr>
              <w:t>with annual report</w:t>
            </w:r>
          </w:p>
        </w:tc>
      </w:tr>
      <w:tr w:rsidR="00CC0CF1" w:rsidRPr="00591362" w:rsidTr="00EF5E0F">
        <w:trPr>
          <w:cantSplit/>
        </w:trPr>
        <w:tc>
          <w:tcPr>
            <w:tcW w:w="1203" w:type="pct"/>
            <w:shd w:val="clear" w:color="auto" w:fill="C6D9F1"/>
          </w:tcPr>
          <w:p w:rsidR="00CC0CF1" w:rsidRPr="00591362" w:rsidRDefault="00CC0CF1" w:rsidP="00EF5E0F">
            <w:pPr>
              <w:pStyle w:val="NoSpacing"/>
              <w:rPr>
                <w:b/>
                <w:sz w:val="20"/>
                <w:szCs w:val="20"/>
              </w:rPr>
            </w:pPr>
            <w:r w:rsidRPr="00591362">
              <w:rPr>
                <w:b/>
                <w:sz w:val="20"/>
                <w:szCs w:val="20"/>
              </w:rPr>
              <w:t>QA/QC procedures:</w:t>
            </w:r>
          </w:p>
        </w:tc>
        <w:tc>
          <w:tcPr>
            <w:tcW w:w="3797" w:type="pct"/>
            <w:shd w:val="clear" w:color="auto" w:fill="auto"/>
          </w:tcPr>
          <w:p w:rsidR="00CC0CF1" w:rsidRPr="00591362" w:rsidRDefault="00CC0CF1" w:rsidP="00EF5E0F">
            <w:pPr>
              <w:pStyle w:val="NoSpacing"/>
              <w:rPr>
                <w:rFonts w:cs="Arial"/>
                <w:sz w:val="20"/>
                <w:szCs w:val="20"/>
              </w:rPr>
            </w:pPr>
            <w:r>
              <w:rPr>
                <w:rFonts w:cs="Arial"/>
                <w:sz w:val="20"/>
                <w:szCs w:val="20"/>
              </w:rPr>
              <w:t>Comparison over time per engine-km</w:t>
            </w:r>
            <w:r w:rsidRPr="00591362">
              <w:rPr>
                <w:rFonts w:cs="Arial"/>
                <w:sz w:val="20"/>
                <w:szCs w:val="20"/>
              </w:rPr>
              <w:t xml:space="preserve">  </w:t>
            </w:r>
          </w:p>
        </w:tc>
      </w:tr>
      <w:tr w:rsidR="00CC0CF1" w:rsidRPr="00591362" w:rsidTr="00EF5E0F">
        <w:trPr>
          <w:cantSplit/>
        </w:trPr>
        <w:tc>
          <w:tcPr>
            <w:tcW w:w="1203" w:type="pct"/>
            <w:shd w:val="clear" w:color="auto" w:fill="C6D9F1"/>
          </w:tcPr>
          <w:p w:rsidR="00CC0CF1" w:rsidRPr="00591362" w:rsidRDefault="00CC0CF1" w:rsidP="00EF5E0F">
            <w:pPr>
              <w:pStyle w:val="NoSpacing"/>
              <w:rPr>
                <w:b/>
                <w:sz w:val="20"/>
                <w:szCs w:val="20"/>
              </w:rPr>
            </w:pPr>
            <w:r w:rsidRPr="00591362">
              <w:rPr>
                <w:b/>
                <w:sz w:val="20"/>
                <w:szCs w:val="20"/>
              </w:rPr>
              <w:t>Comment:</w:t>
            </w:r>
          </w:p>
        </w:tc>
        <w:tc>
          <w:tcPr>
            <w:tcW w:w="3797" w:type="pct"/>
            <w:shd w:val="clear" w:color="auto" w:fill="auto"/>
          </w:tcPr>
          <w:p w:rsidR="00CC0CF1" w:rsidRDefault="00CC0CF1" w:rsidP="00EF5E0F">
            <w:pPr>
              <w:pStyle w:val="NoSpacing"/>
              <w:rPr>
                <w:rFonts w:cs="Arial"/>
                <w:sz w:val="20"/>
                <w:szCs w:val="20"/>
              </w:rPr>
            </w:pPr>
            <w:r>
              <w:rPr>
                <w:rFonts w:cs="Arial"/>
                <w:sz w:val="20"/>
                <w:szCs w:val="20"/>
                <w:lang w:eastAsia="ja-JP"/>
              </w:rPr>
              <w:t>For assignment to freight and to passenger transport the relation engine-km freight and engine-km passenger is taken.</w:t>
            </w:r>
            <w:r w:rsidRPr="00591362">
              <w:rPr>
                <w:rFonts w:cs="Arial"/>
                <w:sz w:val="20"/>
                <w:szCs w:val="20"/>
              </w:rPr>
              <w:t xml:space="preserve"> </w:t>
            </w:r>
          </w:p>
          <w:p w:rsidR="00CC0CF1" w:rsidRPr="00591362" w:rsidRDefault="00CC0CF1" w:rsidP="00EF5E0F">
            <w:pPr>
              <w:pStyle w:val="NoSpacing"/>
              <w:rPr>
                <w:sz w:val="20"/>
                <w:szCs w:val="20"/>
              </w:rPr>
            </w:pPr>
          </w:p>
          <w:p w:rsidR="00CC0CF1" w:rsidRPr="00591362" w:rsidRDefault="00932907" w:rsidP="00CC0CF1">
            <w:pPr>
              <w:pStyle w:val="NoSpacing"/>
              <w:rPr>
                <w:sz w:val="20"/>
                <w:szCs w:val="20"/>
              </w:rPr>
            </w:pPr>
            <w:r>
              <w:rPr>
                <w:sz w:val="20"/>
                <w:szCs w:val="20"/>
              </w:rPr>
              <w:t>To convert diesel from lit</w:t>
            </w:r>
            <w:r w:rsidR="00CC0CF1" w:rsidRPr="00591362">
              <w:rPr>
                <w:sz w:val="20"/>
                <w:szCs w:val="20"/>
              </w:rPr>
              <w:t>r</w:t>
            </w:r>
            <w:r>
              <w:rPr>
                <w:sz w:val="20"/>
                <w:szCs w:val="20"/>
              </w:rPr>
              <w:t>e</w:t>
            </w:r>
            <w:r w:rsidR="00CC0CF1" w:rsidRPr="00591362">
              <w:rPr>
                <w:sz w:val="20"/>
                <w:szCs w:val="20"/>
              </w:rPr>
              <w:t xml:space="preserve"> to mass the density of diesel is 0.844 kg/l (IEA, 2005) </w:t>
            </w:r>
          </w:p>
        </w:tc>
      </w:tr>
    </w:tbl>
    <w:p w:rsidR="00CC0CF1" w:rsidRPr="00591362" w:rsidRDefault="00CC0CF1" w:rsidP="00CC0CF1">
      <w:pPr>
        <w:pStyle w:val="NoSpacing"/>
        <w:rPr>
          <w:sz w:val="20"/>
          <w:szCs w:val="20"/>
        </w:rPr>
      </w:pP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28" w:type="dxa"/>
          <w:bottom w:w="28" w:type="dxa"/>
        </w:tblCellMar>
        <w:tblLook w:val="01E0" w:firstRow="1" w:lastRow="1" w:firstColumn="1" w:lastColumn="1" w:noHBand="0" w:noVBand="0"/>
      </w:tblPr>
      <w:tblGrid>
        <w:gridCol w:w="2164"/>
        <w:gridCol w:w="6832"/>
      </w:tblGrid>
      <w:tr w:rsidR="00CC0CF1" w:rsidRPr="00591362" w:rsidTr="00EF5E0F">
        <w:trPr>
          <w:cantSplit/>
        </w:trPr>
        <w:tc>
          <w:tcPr>
            <w:tcW w:w="1203" w:type="pct"/>
            <w:shd w:val="clear" w:color="auto" w:fill="C6D9F1"/>
            <w:tcMar>
              <w:top w:w="62" w:type="dxa"/>
              <w:bottom w:w="62" w:type="dxa"/>
            </w:tcMar>
          </w:tcPr>
          <w:p w:rsidR="00CC0CF1" w:rsidRPr="00591362" w:rsidRDefault="00CC0CF1" w:rsidP="00EF5E0F">
            <w:pPr>
              <w:pStyle w:val="NoSpacing"/>
              <w:rPr>
                <w:b/>
                <w:sz w:val="20"/>
                <w:szCs w:val="20"/>
              </w:rPr>
            </w:pPr>
            <w:r w:rsidRPr="00591362">
              <w:rPr>
                <w:b/>
                <w:sz w:val="20"/>
                <w:szCs w:val="20"/>
              </w:rPr>
              <w:t>ID</w:t>
            </w:r>
          </w:p>
        </w:tc>
        <w:tc>
          <w:tcPr>
            <w:tcW w:w="3797" w:type="pct"/>
            <w:shd w:val="clear" w:color="auto" w:fill="auto"/>
            <w:tcMar>
              <w:top w:w="62" w:type="dxa"/>
              <w:bottom w:w="62" w:type="dxa"/>
            </w:tcMar>
          </w:tcPr>
          <w:p w:rsidR="00CC0CF1" w:rsidRPr="00DE6723" w:rsidRDefault="003B39F1" w:rsidP="00EF5E0F">
            <w:pPr>
              <w:pStyle w:val="NoSpacing"/>
              <w:rPr>
                <w:rFonts w:cs="Arial"/>
                <w:b/>
                <w:sz w:val="20"/>
                <w:szCs w:val="20"/>
              </w:rPr>
            </w:pPr>
            <w:r>
              <w:rPr>
                <w:rFonts w:cs="Arial"/>
                <w:b/>
                <w:sz w:val="20"/>
                <w:szCs w:val="20"/>
              </w:rPr>
              <w:t>2</w:t>
            </w:r>
          </w:p>
        </w:tc>
      </w:tr>
      <w:tr w:rsidR="00CC0CF1" w:rsidRPr="00591362" w:rsidTr="00EF5E0F">
        <w:trPr>
          <w:cantSplit/>
        </w:trPr>
        <w:tc>
          <w:tcPr>
            <w:tcW w:w="1203" w:type="pct"/>
            <w:shd w:val="clear" w:color="auto" w:fill="C6D9F1"/>
            <w:tcMar>
              <w:top w:w="62" w:type="dxa"/>
              <w:bottom w:w="62" w:type="dxa"/>
            </w:tcMar>
          </w:tcPr>
          <w:p w:rsidR="00CC0CF1" w:rsidRPr="00591362" w:rsidRDefault="00CC0CF1" w:rsidP="00EF5E0F">
            <w:pPr>
              <w:pStyle w:val="NoSpacing"/>
              <w:rPr>
                <w:b/>
                <w:sz w:val="20"/>
                <w:szCs w:val="20"/>
              </w:rPr>
            </w:pPr>
            <w:r w:rsidRPr="00591362">
              <w:rPr>
                <w:b/>
                <w:sz w:val="20"/>
                <w:szCs w:val="20"/>
              </w:rPr>
              <w:t>Parameter:</w:t>
            </w:r>
          </w:p>
        </w:tc>
        <w:tc>
          <w:tcPr>
            <w:tcW w:w="3797" w:type="pct"/>
            <w:shd w:val="clear" w:color="auto" w:fill="auto"/>
            <w:tcMar>
              <w:top w:w="62" w:type="dxa"/>
              <w:bottom w:w="62" w:type="dxa"/>
            </w:tcMar>
          </w:tcPr>
          <w:p w:rsidR="00CC0CF1" w:rsidRPr="00591362" w:rsidRDefault="003B39F1" w:rsidP="00EF5E0F">
            <w:pPr>
              <w:pStyle w:val="NoSpacing"/>
              <w:rPr>
                <w:rFonts w:cs="Arial"/>
                <w:sz w:val="20"/>
                <w:szCs w:val="20"/>
              </w:rPr>
            </w:pPr>
            <w:r>
              <w:rPr>
                <w:rFonts w:cs="Arial"/>
                <w:sz w:val="20"/>
                <w:szCs w:val="20"/>
              </w:rPr>
              <w:t>pkm and tkm</w:t>
            </w:r>
          </w:p>
        </w:tc>
      </w:tr>
      <w:tr w:rsidR="00CC0CF1" w:rsidRPr="00591362" w:rsidTr="00EF5E0F">
        <w:trPr>
          <w:cantSplit/>
        </w:trPr>
        <w:tc>
          <w:tcPr>
            <w:tcW w:w="1203" w:type="pct"/>
            <w:shd w:val="clear" w:color="auto" w:fill="C6D9F1"/>
          </w:tcPr>
          <w:p w:rsidR="00CC0CF1" w:rsidRPr="00591362" w:rsidRDefault="00CC0CF1" w:rsidP="00EF5E0F">
            <w:pPr>
              <w:pStyle w:val="NoSpacing"/>
              <w:rPr>
                <w:b/>
                <w:sz w:val="20"/>
                <w:szCs w:val="20"/>
              </w:rPr>
            </w:pPr>
            <w:r w:rsidRPr="00591362">
              <w:rPr>
                <w:b/>
                <w:sz w:val="20"/>
                <w:szCs w:val="20"/>
              </w:rPr>
              <w:t>Unit:</w:t>
            </w:r>
          </w:p>
        </w:tc>
        <w:tc>
          <w:tcPr>
            <w:tcW w:w="3797" w:type="pct"/>
            <w:shd w:val="clear" w:color="auto" w:fill="auto"/>
          </w:tcPr>
          <w:p w:rsidR="00CC0CF1" w:rsidRPr="00591362" w:rsidRDefault="003B39F1" w:rsidP="00EF5E0F">
            <w:pPr>
              <w:pStyle w:val="NoSpacing"/>
              <w:rPr>
                <w:rFonts w:cs="Arial"/>
                <w:sz w:val="20"/>
                <w:szCs w:val="20"/>
              </w:rPr>
            </w:pPr>
            <w:r>
              <w:rPr>
                <w:rFonts w:cs="Arial"/>
                <w:sz w:val="20"/>
                <w:szCs w:val="20"/>
              </w:rPr>
              <w:t>pkm / tkm</w:t>
            </w:r>
          </w:p>
        </w:tc>
      </w:tr>
      <w:tr w:rsidR="00CC0CF1" w:rsidRPr="00591362" w:rsidTr="00EF5E0F">
        <w:trPr>
          <w:cantSplit/>
        </w:trPr>
        <w:tc>
          <w:tcPr>
            <w:tcW w:w="1203" w:type="pct"/>
            <w:shd w:val="clear" w:color="auto" w:fill="C6D9F1"/>
          </w:tcPr>
          <w:p w:rsidR="00CC0CF1" w:rsidRPr="00591362" w:rsidRDefault="00CC0CF1" w:rsidP="00EF5E0F">
            <w:pPr>
              <w:pStyle w:val="NoSpacing"/>
              <w:rPr>
                <w:b/>
                <w:sz w:val="20"/>
                <w:szCs w:val="20"/>
              </w:rPr>
            </w:pPr>
            <w:r w:rsidRPr="00591362">
              <w:rPr>
                <w:b/>
                <w:sz w:val="20"/>
                <w:szCs w:val="20"/>
              </w:rPr>
              <w:t>Description:</w:t>
            </w:r>
          </w:p>
        </w:tc>
        <w:tc>
          <w:tcPr>
            <w:tcW w:w="3797" w:type="pct"/>
            <w:shd w:val="clear" w:color="auto" w:fill="auto"/>
          </w:tcPr>
          <w:p w:rsidR="00CC0CF1" w:rsidRPr="00591362" w:rsidRDefault="003B39F1" w:rsidP="00EF5E0F">
            <w:pPr>
              <w:pStyle w:val="NoSpacing"/>
              <w:rPr>
                <w:rFonts w:cs="Arial"/>
                <w:sz w:val="20"/>
                <w:szCs w:val="20"/>
              </w:rPr>
            </w:pPr>
            <w:r>
              <w:rPr>
                <w:rFonts w:cs="Arial"/>
                <w:sz w:val="20"/>
                <w:szCs w:val="20"/>
              </w:rPr>
              <w:t>Passenger-kilometre and ton-kilometre on inter-urban rail</w:t>
            </w:r>
          </w:p>
        </w:tc>
      </w:tr>
      <w:tr w:rsidR="00CC0CF1" w:rsidRPr="00591362" w:rsidTr="00EF5E0F">
        <w:trPr>
          <w:cantSplit/>
        </w:trPr>
        <w:tc>
          <w:tcPr>
            <w:tcW w:w="1203" w:type="pct"/>
            <w:shd w:val="clear" w:color="auto" w:fill="C6D9F1"/>
          </w:tcPr>
          <w:p w:rsidR="00CC0CF1" w:rsidRPr="00591362" w:rsidRDefault="00CC0CF1" w:rsidP="00EF5E0F">
            <w:pPr>
              <w:pStyle w:val="NoSpacing"/>
              <w:rPr>
                <w:b/>
                <w:sz w:val="20"/>
                <w:szCs w:val="20"/>
              </w:rPr>
            </w:pPr>
            <w:r w:rsidRPr="00591362">
              <w:rPr>
                <w:b/>
                <w:sz w:val="20"/>
                <w:szCs w:val="20"/>
              </w:rPr>
              <w:t>Source of data:</w:t>
            </w:r>
          </w:p>
        </w:tc>
        <w:tc>
          <w:tcPr>
            <w:tcW w:w="3797" w:type="pct"/>
            <w:shd w:val="clear" w:color="auto" w:fill="auto"/>
          </w:tcPr>
          <w:p w:rsidR="00CC0CF1" w:rsidRPr="00591362" w:rsidRDefault="003B39F1" w:rsidP="00EF5E0F">
            <w:pPr>
              <w:pStyle w:val="NoSpacing"/>
              <w:rPr>
                <w:rFonts w:cs="Arial"/>
                <w:sz w:val="20"/>
                <w:szCs w:val="20"/>
                <w:lang w:eastAsia="es-ES"/>
              </w:rPr>
            </w:pPr>
            <w:r>
              <w:rPr>
                <w:rFonts w:cs="Arial"/>
                <w:sz w:val="20"/>
                <w:szCs w:val="20"/>
                <w:lang w:eastAsia="es-ES"/>
              </w:rPr>
              <w:t>BR</w:t>
            </w:r>
          </w:p>
        </w:tc>
      </w:tr>
      <w:tr w:rsidR="00CC0CF1" w:rsidRPr="00591362" w:rsidTr="00EF5E0F">
        <w:trPr>
          <w:cantSplit/>
        </w:trPr>
        <w:tc>
          <w:tcPr>
            <w:tcW w:w="1203" w:type="pct"/>
            <w:shd w:val="clear" w:color="auto" w:fill="C6D9F1"/>
          </w:tcPr>
          <w:p w:rsidR="00CC0CF1" w:rsidRPr="00591362" w:rsidRDefault="00CC0CF1" w:rsidP="00EF5E0F">
            <w:pPr>
              <w:pStyle w:val="NoSpacing"/>
              <w:rPr>
                <w:b/>
                <w:sz w:val="20"/>
                <w:szCs w:val="20"/>
              </w:rPr>
            </w:pPr>
            <w:r w:rsidRPr="00591362">
              <w:rPr>
                <w:b/>
                <w:sz w:val="20"/>
                <w:szCs w:val="20"/>
              </w:rPr>
              <w:t>Monitoring method:</w:t>
            </w:r>
          </w:p>
        </w:tc>
        <w:tc>
          <w:tcPr>
            <w:tcW w:w="3797" w:type="pct"/>
            <w:shd w:val="clear" w:color="auto" w:fill="auto"/>
          </w:tcPr>
          <w:p w:rsidR="00CC0CF1" w:rsidRPr="00591362" w:rsidRDefault="003B39F1" w:rsidP="00EF5E0F">
            <w:pPr>
              <w:pStyle w:val="NoSpacing"/>
              <w:rPr>
                <w:rFonts w:cs="Arial"/>
                <w:sz w:val="20"/>
                <w:szCs w:val="20"/>
                <w:lang w:eastAsia="ja-JP"/>
              </w:rPr>
            </w:pPr>
            <w:r>
              <w:rPr>
                <w:rFonts w:cs="Arial"/>
                <w:sz w:val="20"/>
                <w:szCs w:val="20"/>
                <w:lang w:eastAsia="ja-JP"/>
              </w:rPr>
              <w:t>Based on total passenger number and passenger lead and total tons transported and average lead</w:t>
            </w:r>
          </w:p>
        </w:tc>
      </w:tr>
      <w:tr w:rsidR="00CC0CF1" w:rsidRPr="00591362" w:rsidTr="00EF5E0F">
        <w:trPr>
          <w:cantSplit/>
        </w:trPr>
        <w:tc>
          <w:tcPr>
            <w:tcW w:w="1203" w:type="pct"/>
            <w:shd w:val="clear" w:color="auto" w:fill="C6D9F1"/>
          </w:tcPr>
          <w:p w:rsidR="00CC0CF1" w:rsidRPr="00591362" w:rsidRDefault="00CC0CF1" w:rsidP="00EF5E0F">
            <w:pPr>
              <w:pStyle w:val="NoSpacing"/>
              <w:rPr>
                <w:b/>
                <w:sz w:val="20"/>
                <w:szCs w:val="20"/>
              </w:rPr>
            </w:pPr>
            <w:r w:rsidRPr="00591362">
              <w:rPr>
                <w:b/>
                <w:sz w:val="20"/>
                <w:szCs w:val="20"/>
              </w:rPr>
              <w:t>Measuring frequency:</w:t>
            </w:r>
          </w:p>
        </w:tc>
        <w:tc>
          <w:tcPr>
            <w:tcW w:w="3797" w:type="pct"/>
            <w:shd w:val="clear" w:color="auto" w:fill="auto"/>
          </w:tcPr>
          <w:p w:rsidR="00CC0CF1" w:rsidRPr="00591362" w:rsidRDefault="00CC0CF1" w:rsidP="00EF5E0F">
            <w:pPr>
              <w:pStyle w:val="NoSpacing"/>
              <w:rPr>
                <w:rFonts w:cs="Arial"/>
                <w:sz w:val="20"/>
                <w:szCs w:val="20"/>
              </w:rPr>
            </w:pPr>
            <w:r w:rsidRPr="00591362">
              <w:rPr>
                <w:rFonts w:cs="Arial"/>
                <w:sz w:val="20"/>
                <w:szCs w:val="20"/>
              </w:rPr>
              <w:t>Continuous measurement and annual reporting</w:t>
            </w:r>
          </w:p>
        </w:tc>
      </w:tr>
      <w:tr w:rsidR="00CC0CF1" w:rsidRPr="00591362" w:rsidTr="00EF5E0F">
        <w:trPr>
          <w:cantSplit/>
        </w:trPr>
        <w:tc>
          <w:tcPr>
            <w:tcW w:w="1203" w:type="pct"/>
            <w:shd w:val="clear" w:color="auto" w:fill="C6D9F1"/>
          </w:tcPr>
          <w:p w:rsidR="00CC0CF1" w:rsidRPr="00591362" w:rsidRDefault="00CC0CF1" w:rsidP="00EF5E0F">
            <w:pPr>
              <w:pStyle w:val="NoSpacing"/>
              <w:rPr>
                <w:b/>
                <w:sz w:val="20"/>
                <w:szCs w:val="20"/>
              </w:rPr>
            </w:pPr>
            <w:r w:rsidRPr="00591362">
              <w:rPr>
                <w:b/>
                <w:sz w:val="20"/>
                <w:szCs w:val="20"/>
              </w:rPr>
              <w:t>QA/QC procedures:</w:t>
            </w:r>
          </w:p>
        </w:tc>
        <w:tc>
          <w:tcPr>
            <w:tcW w:w="3797" w:type="pct"/>
            <w:shd w:val="clear" w:color="auto" w:fill="auto"/>
          </w:tcPr>
          <w:p w:rsidR="00CC0CF1" w:rsidRPr="00591362" w:rsidRDefault="00CC0CF1" w:rsidP="00EF5E0F">
            <w:pPr>
              <w:pStyle w:val="NoSpacing"/>
              <w:rPr>
                <w:rFonts w:cs="Arial"/>
                <w:sz w:val="20"/>
                <w:szCs w:val="20"/>
              </w:rPr>
            </w:pPr>
            <w:r w:rsidRPr="00591362">
              <w:rPr>
                <w:rFonts w:cs="Arial"/>
                <w:sz w:val="20"/>
                <w:szCs w:val="20"/>
              </w:rPr>
              <w:t>Comparison with value of previous years to identify possible data recording and transmission errors.</w:t>
            </w:r>
          </w:p>
        </w:tc>
      </w:tr>
      <w:tr w:rsidR="00CC0CF1" w:rsidRPr="00591362" w:rsidTr="00EF5E0F">
        <w:trPr>
          <w:cantSplit/>
        </w:trPr>
        <w:tc>
          <w:tcPr>
            <w:tcW w:w="1203" w:type="pct"/>
            <w:shd w:val="clear" w:color="auto" w:fill="C6D9F1"/>
          </w:tcPr>
          <w:p w:rsidR="00CC0CF1" w:rsidRPr="00591362" w:rsidRDefault="00CC0CF1" w:rsidP="00EF5E0F">
            <w:pPr>
              <w:pStyle w:val="NoSpacing"/>
              <w:rPr>
                <w:b/>
                <w:sz w:val="20"/>
                <w:szCs w:val="20"/>
              </w:rPr>
            </w:pPr>
            <w:r w:rsidRPr="00591362">
              <w:rPr>
                <w:b/>
                <w:sz w:val="20"/>
                <w:szCs w:val="20"/>
              </w:rPr>
              <w:t>Comment:</w:t>
            </w:r>
          </w:p>
        </w:tc>
        <w:tc>
          <w:tcPr>
            <w:tcW w:w="3797" w:type="pct"/>
            <w:shd w:val="clear" w:color="auto" w:fill="auto"/>
          </w:tcPr>
          <w:p w:rsidR="00CC0CF1" w:rsidRPr="00591362" w:rsidRDefault="00CC0CF1" w:rsidP="00EF5E0F">
            <w:pPr>
              <w:pStyle w:val="NoSpacing"/>
              <w:rPr>
                <w:sz w:val="20"/>
                <w:szCs w:val="20"/>
              </w:rPr>
            </w:pPr>
          </w:p>
        </w:tc>
      </w:tr>
    </w:tbl>
    <w:p w:rsidR="00CC0CF1" w:rsidRPr="00591362" w:rsidRDefault="00CC0CF1" w:rsidP="00CC0CF1">
      <w:pPr>
        <w:pStyle w:val="NoSpacing"/>
        <w:rPr>
          <w:sz w:val="20"/>
          <w:szCs w:val="20"/>
        </w:rPr>
      </w:pP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28" w:type="dxa"/>
          <w:bottom w:w="28" w:type="dxa"/>
        </w:tblCellMar>
        <w:tblLook w:val="01E0" w:firstRow="1" w:lastRow="1" w:firstColumn="1" w:lastColumn="1" w:noHBand="0" w:noVBand="0"/>
      </w:tblPr>
      <w:tblGrid>
        <w:gridCol w:w="2164"/>
        <w:gridCol w:w="6832"/>
      </w:tblGrid>
      <w:tr w:rsidR="00CC0CF1" w:rsidRPr="00591362" w:rsidTr="00EF5E0F">
        <w:trPr>
          <w:cantSplit/>
        </w:trPr>
        <w:tc>
          <w:tcPr>
            <w:tcW w:w="1203" w:type="pct"/>
            <w:shd w:val="clear" w:color="auto" w:fill="C6D9F1"/>
            <w:tcMar>
              <w:top w:w="62" w:type="dxa"/>
              <w:bottom w:w="62" w:type="dxa"/>
            </w:tcMar>
          </w:tcPr>
          <w:p w:rsidR="00CC0CF1" w:rsidRPr="00591362" w:rsidRDefault="00CC0CF1" w:rsidP="00EF5E0F">
            <w:pPr>
              <w:pStyle w:val="NoSpacing"/>
              <w:rPr>
                <w:b/>
                <w:sz w:val="20"/>
                <w:szCs w:val="20"/>
              </w:rPr>
            </w:pPr>
            <w:r w:rsidRPr="00591362">
              <w:rPr>
                <w:b/>
                <w:sz w:val="20"/>
                <w:szCs w:val="20"/>
              </w:rPr>
              <w:t>ID</w:t>
            </w:r>
          </w:p>
        </w:tc>
        <w:tc>
          <w:tcPr>
            <w:tcW w:w="3797" w:type="pct"/>
            <w:shd w:val="clear" w:color="auto" w:fill="auto"/>
            <w:tcMar>
              <w:top w:w="62" w:type="dxa"/>
              <w:bottom w:w="62" w:type="dxa"/>
            </w:tcMar>
          </w:tcPr>
          <w:p w:rsidR="00CC0CF1" w:rsidRPr="00DE6723" w:rsidRDefault="003B39F1" w:rsidP="00EF5E0F">
            <w:pPr>
              <w:pStyle w:val="NoSpacing"/>
              <w:rPr>
                <w:rFonts w:cs="Arial"/>
                <w:b/>
                <w:sz w:val="20"/>
                <w:szCs w:val="20"/>
              </w:rPr>
            </w:pPr>
            <w:r>
              <w:rPr>
                <w:rFonts w:cs="Arial"/>
                <w:b/>
                <w:sz w:val="20"/>
                <w:szCs w:val="20"/>
              </w:rPr>
              <w:t>3</w:t>
            </w:r>
          </w:p>
        </w:tc>
      </w:tr>
      <w:tr w:rsidR="00CC0CF1" w:rsidRPr="00591362" w:rsidTr="00EF5E0F">
        <w:trPr>
          <w:cantSplit/>
        </w:trPr>
        <w:tc>
          <w:tcPr>
            <w:tcW w:w="1203" w:type="pct"/>
            <w:shd w:val="clear" w:color="auto" w:fill="C6D9F1"/>
            <w:tcMar>
              <w:top w:w="62" w:type="dxa"/>
              <w:bottom w:w="62" w:type="dxa"/>
            </w:tcMar>
          </w:tcPr>
          <w:p w:rsidR="00CC0CF1" w:rsidRPr="00591362" w:rsidRDefault="00CC0CF1" w:rsidP="00EF5E0F">
            <w:pPr>
              <w:pStyle w:val="NoSpacing"/>
              <w:rPr>
                <w:b/>
                <w:sz w:val="20"/>
                <w:szCs w:val="20"/>
              </w:rPr>
            </w:pPr>
            <w:r w:rsidRPr="00591362">
              <w:rPr>
                <w:b/>
                <w:sz w:val="20"/>
                <w:szCs w:val="20"/>
              </w:rPr>
              <w:t>Parameter:</w:t>
            </w:r>
          </w:p>
        </w:tc>
        <w:tc>
          <w:tcPr>
            <w:tcW w:w="3797" w:type="pct"/>
            <w:shd w:val="clear" w:color="auto" w:fill="auto"/>
            <w:tcMar>
              <w:top w:w="62" w:type="dxa"/>
              <w:bottom w:w="62" w:type="dxa"/>
            </w:tcMar>
          </w:tcPr>
          <w:p w:rsidR="00CC0CF1" w:rsidRPr="00591362" w:rsidRDefault="003B39F1" w:rsidP="00EF5E0F">
            <w:pPr>
              <w:pStyle w:val="NoSpacing"/>
              <w:rPr>
                <w:rFonts w:cs="Arial"/>
                <w:sz w:val="20"/>
                <w:szCs w:val="20"/>
              </w:rPr>
            </w:pPr>
            <w:r>
              <w:rPr>
                <w:rFonts w:cs="Arial"/>
                <w:sz w:val="20"/>
                <w:szCs w:val="20"/>
              </w:rPr>
              <w:t>RFP</w:t>
            </w:r>
          </w:p>
        </w:tc>
      </w:tr>
      <w:tr w:rsidR="00CC0CF1" w:rsidRPr="00591362" w:rsidTr="00EF5E0F">
        <w:trPr>
          <w:cantSplit/>
        </w:trPr>
        <w:tc>
          <w:tcPr>
            <w:tcW w:w="1203" w:type="pct"/>
            <w:shd w:val="clear" w:color="auto" w:fill="C6D9F1"/>
          </w:tcPr>
          <w:p w:rsidR="00CC0CF1" w:rsidRPr="00591362" w:rsidRDefault="00CC0CF1" w:rsidP="00EF5E0F">
            <w:pPr>
              <w:pStyle w:val="NoSpacing"/>
              <w:rPr>
                <w:b/>
                <w:sz w:val="20"/>
                <w:szCs w:val="20"/>
              </w:rPr>
            </w:pPr>
            <w:r w:rsidRPr="00591362">
              <w:rPr>
                <w:b/>
                <w:sz w:val="20"/>
                <w:szCs w:val="20"/>
              </w:rPr>
              <w:t>Unit:</w:t>
            </w:r>
          </w:p>
        </w:tc>
        <w:tc>
          <w:tcPr>
            <w:tcW w:w="3797" w:type="pct"/>
            <w:shd w:val="clear" w:color="auto" w:fill="auto"/>
          </w:tcPr>
          <w:p w:rsidR="00CC0CF1" w:rsidRPr="00591362" w:rsidRDefault="003B39F1" w:rsidP="00EF5E0F">
            <w:pPr>
              <w:pStyle w:val="NoSpacing"/>
              <w:rPr>
                <w:rFonts w:cs="Arial"/>
                <w:sz w:val="20"/>
                <w:szCs w:val="20"/>
              </w:rPr>
            </w:pPr>
            <w:r>
              <w:rPr>
                <w:rFonts w:cs="Arial"/>
                <w:sz w:val="20"/>
                <w:szCs w:val="20"/>
              </w:rPr>
              <w:t>USD/l</w:t>
            </w:r>
          </w:p>
        </w:tc>
      </w:tr>
      <w:tr w:rsidR="00CC0CF1" w:rsidRPr="00591362" w:rsidTr="00EF5E0F">
        <w:trPr>
          <w:cantSplit/>
        </w:trPr>
        <w:tc>
          <w:tcPr>
            <w:tcW w:w="1203" w:type="pct"/>
            <w:shd w:val="clear" w:color="auto" w:fill="C6D9F1"/>
          </w:tcPr>
          <w:p w:rsidR="00CC0CF1" w:rsidRPr="00591362" w:rsidRDefault="00CC0CF1" w:rsidP="00EF5E0F">
            <w:pPr>
              <w:pStyle w:val="NoSpacing"/>
              <w:rPr>
                <w:b/>
                <w:sz w:val="20"/>
                <w:szCs w:val="20"/>
              </w:rPr>
            </w:pPr>
            <w:r w:rsidRPr="00591362">
              <w:rPr>
                <w:b/>
                <w:sz w:val="20"/>
                <w:szCs w:val="20"/>
              </w:rPr>
              <w:t>Description:</w:t>
            </w:r>
          </w:p>
        </w:tc>
        <w:tc>
          <w:tcPr>
            <w:tcW w:w="3797" w:type="pct"/>
            <w:shd w:val="clear" w:color="auto" w:fill="auto"/>
          </w:tcPr>
          <w:p w:rsidR="00CC0CF1" w:rsidRPr="00591362" w:rsidRDefault="003B39F1" w:rsidP="00EF5E0F">
            <w:pPr>
              <w:pStyle w:val="NoSpacing"/>
              <w:rPr>
                <w:rFonts w:cs="Arial"/>
                <w:sz w:val="20"/>
                <w:szCs w:val="20"/>
              </w:rPr>
            </w:pPr>
            <w:r>
              <w:rPr>
                <w:rFonts w:cs="Arial"/>
                <w:sz w:val="20"/>
                <w:szCs w:val="20"/>
              </w:rPr>
              <w:t>Reference fuel price diesel</w:t>
            </w:r>
          </w:p>
        </w:tc>
      </w:tr>
      <w:tr w:rsidR="00CC0CF1" w:rsidRPr="00591362" w:rsidTr="00EF5E0F">
        <w:trPr>
          <w:cantSplit/>
        </w:trPr>
        <w:tc>
          <w:tcPr>
            <w:tcW w:w="1203" w:type="pct"/>
            <w:shd w:val="clear" w:color="auto" w:fill="C6D9F1"/>
          </w:tcPr>
          <w:p w:rsidR="00CC0CF1" w:rsidRPr="00591362" w:rsidRDefault="00CC0CF1" w:rsidP="00EF5E0F">
            <w:pPr>
              <w:pStyle w:val="NoSpacing"/>
              <w:rPr>
                <w:b/>
                <w:sz w:val="20"/>
                <w:szCs w:val="20"/>
              </w:rPr>
            </w:pPr>
            <w:r w:rsidRPr="00591362">
              <w:rPr>
                <w:b/>
                <w:sz w:val="20"/>
                <w:szCs w:val="20"/>
              </w:rPr>
              <w:t>Source of data:</w:t>
            </w:r>
          </w:p>
        </w:tc>
        <w:tc>
          <w:tcPr>
            <w:tcW w:w="3797" w:type="pct"/>
            <w:shd w:val="clear" w:color="auto" w:fill="auto"/>
          </w:tcPr>
          <w:p w:rsidR="00CC0CF1" w:rsidRPr="003B39F1" w:rsidRDefault="003B39F1" w:rsidP="003B39F1">
            <w:pPr>
              <w:pStyle w:val="NoSpacing"/>
              <w:rPr>
                <w:rFonts w:cs="Arial"/>
                <w:sz w:val="20"/>
                <w:szCs w:val="20"/>
                <w:lang w:eastAsia="es-ES"/>
              </w:rPr>
            </w:pPr>
            <w:r w:rsidRPr="003B39F1">
              <w:rPr>
                <w:rFonts w:cs="Arial"/>
                <w:sz w:val="20"/>
                <w:szCs w:val="20"/>
                <w:lang w:eastAsia="es-ES"/>
              </w:rPr>
              <w:t xml:space="preserve">Reference price diesel based on New York Harbor Ultra-Low Sulfur No 2 Diesel Spot Price, </w:t>
            </w:r>
            <w:r>
              <w:rPr>
                <w:rFonts w:cs="Arial"/>
                <w:sz w:val="20"/>
                <w:szCs w:val="20"/>
                <w:lang w:eastAsia="es-ES"/>
              </w:rPr>
              <w:t>as published by www.indexmundi.com</w:t>
            </w:r>
            <w:r w:rsidRPr="003B39F1">
              <w:rPr>
                <w:rFonts w:cs="Arial"/>
                <w:sz w:val="20"/>
                <w:szCs w:val="20"/>
                <w:lang w:eastAsia="es-ES"/>
              </w:rPr>
              <w:t xml:space="preserve"> plus 0.1 USD/l for</w:t>
            </w:r>
            <w:r>
              <w:rPr>
                <w:rFonts w:cs="Arial"/>
                <w:sz w:val="20"/>
                <w:szCs w:val="20"/>
                <w:lang w:eastAsia="es-ES"/>
              </w:rPr>
              <w:t xml:space="preserve"> distribution and 0.1 USD/l international t</w:t>
            </w:r>
            <w:r w:rsidRPr="003B39F1">
              <w:rPr>
                <w:rFonts w:cs="Arial"/>
                <w:sz w:val="20"/>
                <w:szCs w:val="20"/>
                <w:lang w:eastAsia="es-ES"/>
              </w:rPr>
              <w:t xml:space="preserve">ransportation </w:t>
            </w:r>
            <w:r>
              <w:rPr>
                <w:rFonts w:cs="Arial"/>
                <w:sz w:val="20"/>
                <w:szCs w:val="20"/>
                <w:lang w:eastAsia="es-ES"/>
              </w:rPr>
              <w:t>(</w:t>
            </w:r>
            <w:r w:rsidRPr="003B39F1">
              <w:rPr>
                <w:rFonts w:cs="Arial"/>
                <w:sz w:val="20"/>
                <w:szCs w:val="20"/>
                <w:lang w:eastAsia="es-ES"/>
              </w:rPr>
              <w:t>IMF, 2013</w:t>
            </w:r>
            <w:r>
              <w:rPr>
                <w:rFonts w:cs="Arial"/>
                <w:sz w:val="20"/>
                <w:szCs w:val="20"/>
                <w:lang w:eastAsia="es-ES"/>
              </w:rPr>
              <w:t xml:space="preserve">). </w:t>
            </w:r>
          </w:p>
        </w:tc>
      </w:tr>
      <w:tr w:rsidR="00CC0CF1" w:rsidRPr="00591362" w:rsidTr="00EF5E0F">
        <w:trPr>
          <w:cantSplit/>
        </w:trPr>
        <w:tc>
          <w:tcPr>
            <w:tcW w:w="1203" w:type="pct"/>
            <w:shd w:val="clear" w:color="auto" w:fill="C6D9F1"/>
          </w:tcPr>
          <w:p w:rsidR="00CC0CF1" w:rsidRPr="00591362" w:rsidRDefault="00CC0CF1" w:rsidP="00EF5E0F">
            <w:pPr>
              <w:pStyle w:val="NoSpacing"/>
              <w:rPr>
                <w:b/>
                <w:sz w:val="20"/>
                <w:szCs w:val="20"/>
              </w:rPr>
            </w:pPr>
            <w:r w:rsidRPr="00591362">
              <w:rPr>
                <w:b/>
                <w:sz w:val="20"/>
                <w:szCs w:val="20"/>
              </w:rPr>
              <w:t>Monitoring method:</w:t>
            </w:r>
          </w:p>
        </w:tc>
        <w:tc>
          <w:tcPr>
            <w:tcW w:w="3797" w:type="pct"/>
            <w:shd w:val="clear" w:color="auto" w:fill="auto"/>
          </w:tcPr>
          <w:p w:rsidR="00CC0CF1" w:rsidRPr="00591362" w:rsidRDefault="003B39F1" w:rsidP="00EF5E0F">
            <w:pPr>
              <w:pStyle w:val="NoSpacing"/>
              <w:rPr>
                <w:rFonts w:cs="Arial"/>
                <w:sz w:val="20"/>
                <w:szCs w:val="20"/>
                <w:lang w:eastAsia="ja-JP"/>
              </w:rPr>
            </w:pPr>
            <w:r>
              <w:rPr>
                <w:rFonts w:cs="Arial"/>
                <w:sz w:val="20"/>
                <w:szCs w:val="20"/>
                <w:lang w:eastAsia="es-ES"/>
              </w:rPr>
              <w:t>This reflects the base price of diesel. This is not identical to the pump price for diesel which might be higher or lower than the reference price depending on tax levels or subsidies.</w:t>
            </w:r>
          </w:p>
        </w:tc>
      </w:tr>
      <w:tr w:rsidR="00CC0CF1" w:rsidRPr="00591362" w:rsidTr="00EF5E0F">
        <w:trPr>
          <w:cantSplit/>
        </w:trPr>
        <w:tc>
          <w:tcPr>
            <w:tcW w:w="1203" w:type="pct"/>
            <w:shd w:val="clear" w:color="auto" w:fill="C6D9F1"/>
          </w:tcPr>
          <w:p w:rsidR="00CC0CF1" w:rsidRPr="00591362" w:rsidRDefault="00CC0CF1" w:rsidP="00EF5E0F">
            <w:pPr>
              <w:pStyle w:val="NoSpacing"/>
              <w:rPr>
                <w:b/>
                <w:sz w:val="20"/>
                <w:szCs w:val="20"/>
              </w:rPr>
            </w:pPr>
            <w:r w:rsidRPr="00591362">
              <w:rPr>
                <w:b/>
                <w:sz w:val="20"/>
                <w:szCs w:val="20"/>
              </w:rPr>
              <w:t>Measuring frequency:</w:t>
            </w:r>
          </w:p>
        </w:tc>
        <w:tc>
          <w:tcPr>
            <w:tcW w:w="3797" w:type="pct"/>
            <w:shd w:val="clear" w:color="auto" w:fill="auto"/>
          </w:tcPr>
          <w:p w:rsidR="00CC0CF1" w:rsidRPr="00591362" w:rsidRDefault="003B39F1" w:rsidP="00EF5E0F">
            <w:pPr>
              <w:pStyle w:val="NoSpacing"/>
              <w:rPr>
                <w:rFonts w:cs="Arial"/>
                <w:sz w:val="20"/>
                <w:szCs w:val="20"/>
              </w:rPr>
            </w:pPr>
            <w:r>
              <w:rPr>
                <w:rFonts w:cs="Arial"/>
                <w:sz w:val="20"/>
                <w:szCs w:val="20"/>
              </w:rPr>
              <w:t>Annual</w:t>
            </w:r>
          </w:p>
        </w:tc>
      </w:tr>
      <w:tr w:rsidR="00CC0CF1" w:rsidRPr="00591362" w:rsidTr="00EF5E0F">
        <w:trPr>
          <w:cantSplit/>
        </w:trPr>
        <w:tc>
          <w:tcPr>
            <w:tcW w:w="1203" w:type="pct"/>
            <w:shd w:val="clear" w:color="auto" w:fill="C6D9F1"/>
          </w:tcPr>
          <w:p w:rsidR="00CC0CF1" w:rsidRPr="00591362" w:rsidRDefault="00CC0CF1" w:rsidP="00EF5E0F">
            <w:pPr>
              <w:pStyle w:val="NoSpacing"/>
              <w:rPr>
                <w:b/>
                <w:sz w:val="20"/>
                <w:szCs w:val="20"/>
              </w:rPr>
            </w:pPr>
            <w:r w:rsidRPr="00591362">
              <w:rPr>
                <w:b/>
                <w:sz w:val="20"/>
                <w:szCs w:val="20"/>
              </w:rPr>
              <w:t>QA/QC procedures:</w:t>
            </w:r>
          </w:p>
        </w:tc>
        <w:tc>
          <w:tcPr>
            <w:tcW w:w="3797" w:type="pct"/>
            <w:shd w:val="clear" w:color="auto" w:fill="auto"/>
          </w:tcPr>
          <w:p w:rsidR="00CC0CF1" w:rsidRPr="00591362" w:rsidRDefault="00CC0CF1" w:rsidP="00EF5E0F">
            <w:pPr>
              <w:pStyle w:val="NoSpacing"/>
              <w:rPr>
                <w:rFonts w:cs="Arial"/>
                <w:sz w:val="20"/>
                <w:szCs w:val="20"/>
              </w:rPr>
            </w:pPr>
          </w:p>
        </w:tc>
      </w:tr>
      <w:tr w:rsidR="00CC0CF1" w:rsidRPr="00591362" w:rsidTr="00EF5E0F">
        <w:trPr>
          <w:cantSplit/>
        </w:trPr>
        <w:tc>
          <w:tcPr>
            <w:tcW w:w="1203" w:type="pct"/>
            <w:shd w:val="clear" w:color="auto" w:fill="C6D9F1"/>
          </w:tcPr>
          <w:p w:rsidR="00CC0CF1" w:rsidRPr="00591362" w:rsidRDefault="00CC0CF1" w:rsidP="00EF5E0F">
            <w:pPr>
              <w:pStyle w:val="NoSpacing"/>
              <w:rPr>
                <w:b/>
                <w:sz w:val="20"/>
                <w:szCs w:val="20"/>
              </w:rPr>
            </w:pPr>
            <w:r w:rsidRPr="00591362">
              <w:rPr>
                <w:b/>
                <w:sz w:val="20"/>
                <w:szCs w:val="20"/>
              </w:rPr>
              <w:t>Comment:</w:t>
            </w:r>
          </w:p>
        </w:tc>
        <w:tc>
          <w:tcPr>
            <w:tcW w:w="3797" w:type="pct"/>
            <w:shd w:val="clear" w:color="auto" w:fill="auto"/>
          </w:tcPr>
          <w:p w:rsidR="00CC0CF1" w:rsidRPr="00591362" w:rsidRDefault="003B39F1" w:rsidP="00EF5E0F">
            <w:pPr>
              <w:pStyle w:val="NoSpacing"/>
              <w:rPr>
                <w:sz w:val="20"/>
                <w:szCs w:val="20"/>
              </w:rPr>
            </w:pPr>
            <w:r>
              <w:rPr>
                <w:sz w:val="20"/>
                <w:szCs w:val="20"/>
              </w:rPr>
              <w:t>Used to determine the SD financial impact</w:t>
            </w:r>
          </w:p>
        </w:tc>
      </w:tr>
    </w:tbl>
    <w:p w:rsidR="00CC0CF1" w:rsidRPr="00591362" w:rsidRDefault="00CC0CF1" w:rsidP="00CC0CF1">
      <w:pPr>
        <w:pStyle w:val="NoSpacing"/>
        <w:rPr>
          <w:sz w:val="20"/>
          <w:szCs w:val="20"/>
        </w:rPr>
      </w:pP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28" w:type="dxa"/>
          <w:bottom w:w="28" w:type="dxa"/>
        </w:tblCellMar>
        <w:tblLook w:val="01E0" w:firstRow="1" w:lastRow="1" w:firstColumn="1" w:lastColumn="1" w:noHBand="0" w:noVBand="0"/>
      </w:tblPr>
      <w:tblGrid>
        <w:gridCol w:w="2164"/>
        <w:gridCol w:w="6832"/>
      </w:tblGrid>
      <w:tr w:rsidR="00CC0CF1" w:rsidRPr="00591362" w:rsidTr="00EF5E0F">
        <w:trPr>
          <w:cantSplit/>
        </w:trPr>
        <w:tc>
          <w:tcPr>
            <w:tcW w:w="1203" w:type="pct"/>
            <w:shd w:val="clear" w:color="auto" w:fill="C6D9F1"/>
            <w:tcMar>
              <w:top w:w="62" w:type="dxa"/>
              <w:bottom w:w="62" w:type="dxa"/>
            </w:tcMar>
          </w:tcPr>
          <w:p w:rsidR="00CC0CF1" w:rsidRPr="00591362" w:rsidRDefault="00CC0CF1" w:rsidP="00EF5E0F">
            <w:pPr>
              <w:pStyle w:val="NoSpacing"/>
              <w:rPr>
                <w:b/>
                <w:sz w:val="20"/>
                <w:szCs w:val="20"/>
              </w:rPr>
            </w:pPr>
            <w:r w:rsidRPr="00591362">
              <w:rPr>
                <w:b/>
                <w:sz w:val="20"/>
                <w:szCs w:val="20"/>
              </w:rPr>
              <w:lastRenderedPageBreak/>
              <w:t>ID</w:t>
            </w:r>
          </w:p>
        </w:tc>
        <w:tc>
          <w:tcPr>
            <w:tcW w:w="3797" w:type="pct"/>
            <w:shd w:val="clear" w:color="auto" w:fill="auto"/>
            <w:tcMar>
              <w:top w:w="62" w:type="dxa"/>
              <w:bottom w:w="62" w:type="dxa"/>
            </w:tcMar>
          </w:tcPr>
          <w:p w:rsidR="00CC0CF1" w:rsidRPr="00DE6723" w:rsidRDefault="003B39F1" w:rsidP="00EF5E0F">
            <w:pPr>
              <w:pStyle w:val="NoSpacing"/>
              <w:rPr>
                <w:rFonts w:cs="Arial"/>
                <w:b/>
                <w:sz w:val="20"/>
                <w:szCs w:val="20"/>
              </w:rPr>
            </w:pPr>
            <w:r>
              <w:rPr>
                <w:rFonts w:cs="Arial"/>
                <w:b/>
                <w:sz w:val="20"/>
                <w:szCs w:val="20"/>
              </w:rPr>
              <w:t>4</w:t>
            </w:r>
          </w:p>
        </w:tc>
      </w:tr>
      <w:tr w:rsidR="00CC0CF1" w:rsidRPr="00591362" w:rsidTr="00EF5E0F">
        <w:trPr>
          <w:cantSplit/>
        </w:trPr>
        <w:tc>
          <w:tcPr>
            <w:tcW w:w="1203" w:type="pct"/>
            <w:shd w:val="clear" w:color="auto" w:fill="C6D9F1"/>
            <w:tcMar>
              <w:top w:w="62" w:type="dxa"/>
              <w:bottom w:w="62" w:type="dxa"/>
            </w:tcMar>
          </w:tcPr>
          <w:p w:rsidR="00CC0CF1" w:rsidRPr="00591362" w:rsidRDefault="00CC0CF1" w:rsidP="00EF5E0F">
            <w:pPr>
              <w:pStyle w:val="NoSpacing"/>
              <w:rPr>
                <w:b/>
                <w:sz w:val="20"/>
                <w:szCs w:val="20"/>
              </w:rPr>
            </w:pPr>
            <w:r w:rsidRPr="00591362">
              <w:rPr>
                <w:b/>
                <w:sz w:val="20"/>
                <w:szCs w:val="20"/>
              </w:rPr>
              <w:t>Parameter:</w:t>
            </w:r>
          </w:p>
        </w:tc>
        <w:tc>
          <w:tcPr>
            <w:tcW w:w="3797" w:type="pct"/>
            <w:shd w:val="clear" w:color="auto" w:fill="auto"/>
            <w:tcMar>
              <w:top w:w="62" w:type="dxa"/>
              <w:bottom w:w="62" w:type="dxa"/>
            </w:tcMar>
          </w:tcPr>
          <w:p w:rsidR="00CC0CF1" w:rsidRPr="00591362" w:rsidRDefault="003B39F1" w:rsidP="00EF5E0F">
            <w:pPr>
              <w:pStyle w:val="NoSpacing"/>
              <w:rPr>
                <w:rFonts w:cs="Arial"/>
                <w:sz w:val="20"/>
                <w:szCs w:val="20"/>
              </w:rPr>
            </w:pPr>
            <w:r>
              <w:rPr>
                <w:rFonts w:cs="Arial"/>
                <w:sz w:val="20"/>
                <w:szCs w:val="20"/>
              </w:rPr>
              <w:t>Rail fatalities</w:t>
            </w:r>
          </w:p>
        </w:tc>
      </w:tr>
      <w:tr w:rsidR="00CC0CF1" w:rsidRPr="00591362" w:rsidTr="00EF5E0F">
        <w:trPr>
          <w:cantSplit/>
        </w:trPr>
        <w:tc>
          <w:tcPr>
            <w:tcW w:w="1203" w:type="pct"/>
            <w:shd w:val="clear" w:color="auto" w:fill="C6D9F1"/>
          </w:tcPr>
          <w:p w:rsidR="00CC0CF1" w:rsidRPr="00591362" w:rsidRDefault="00CC0CF1" w:rsidP="00EF5E0F">
            <w:pPr>
              <w:pStyle w:val="NoSpacing"/>
              <w:rPr>
                <w:b/>
                <w:sz w:val="20"/>
                <w:szCs w:val="20"/>
              </w:rPr>
            </w:pPr>
            <w:r w:rsidRPr="00591362">
              <w:rPr>
                <w:b/>
                <w:sz w:val="20"/>
                <w:szCs w:val="20"/>
              </w:rPr>
              <w:t>Unit:</w:t>
            </w:r>
          </w:p>
        </w:tc>
        <w:tc>
          <w:tcPr>
            <w:tcW w:w="3797" w:type="pct"/>
            <w:shd w:val="clear" w:color="auto" w:fill="auto"/>
          </w:tcPr>
          <w:p w:rsidR="00CC0CF1" w:rsidRPr="00591362" w:rsidRDefault="00CC0CF1" w:rsidP="00EF5E0F">
            <w:pPr>
              <w:pStyle w:val="NoSpacing"/>
              <w:rPr>
                <w:rFonts w:cs="Arial"/>
                <w:sz w:val="20"/>
                <w:szCs w:val="20"/>
              </w:rPr>
            </w:pPr>
            <w:r w:rsidRPr="00591362">
              <w:rPr>
                <w:rFonts w:cs="Arial"/>
                <w:sz w:val="20"/>
                <w:szCs w:val="20"/>
              </w:rPr>
              <w:t>Passengers</w:t>
            </w:r>
          </w:p>
        </w:tc>
      </w:tr>
      <w:tr w:rsidR="00CC0CF1" w:rsidRPr="00591362" w:rsidTr="00EF5E0F">
        <w:trPr>
          <w:cantSplit/>
        </w:trPr>
        <w:tc>
          <w:tcPr>
            <w:tcW w:w="1203" w:type="pct"/>
            <w:shd w:val="clear" w:color="auto" w:fill="C6D9F1"/>
          </w:tcPr>
          <w:p w:rsidR="00CC0CF1" w:rsidRPr="00591362" w:rsidRDefault="00CC0CF1" w:rsidP="00EF5E0F">
            <w:pPr>
              <w:pStyle w:val="NoSpacing"/>
              <w:rPr>
                <w:b/>
                <w:sz w:val="20"/>
                <w:szCs w:val="20"/>
              </w:rPr>
            </w:pPr>
            <w:r w:rsidRPr="00591362">
              <w:rPr>
                <w:b/>
                <w:sz w:val="20"/>
                <w:szCs w:val="20"/>
              </w:rPr>
              <w:t>Description:</w:t>
            </w:r>
          </w:p>
        </w:tc>
        <w:tc>
          <w:tcPr>
            <w:tcW w:w="3797" w:type="pct"/>
            <w:shd w:val="clear" w:color="auto" w:fill="auto"/>
          </w:tcPr>
          <w:p w:rsidR="00CC0CF1" w:rsidRPr="00591362" w:rsidRDefault="003B39F1" w:rsidP="00EF5E0F">
            <w:pPr>
              <w:pStyle w:val="NoSpacing"/>
              <w:rPr>
                <w:rFonts w:cs="Arial"/>
                <w:sz w:val="20"/>
                <w:szCs w:val="20"/>
              </w:rPr>
            </w:pPr>
            <w:r>
              <w:rPr>
                <w:rFonts w:cs="Arial"/>
                <w:sz w:val="20"/>
                <w:szCs w:val="20"/>
              </w:rPr>
              <w:t>Fatalities due to rail accidents</w:t>
            </w:r>
          </w:p>
        </w:tc>
      </w:tr>
      <w:tr w:rsidR="00CC0CF1" w:rsidRPr="00591362" w:rsidTr="00EF5E0F">
        <w:trPr>
          <w:cantSplit/>
        </w:trPr>
        <w:tc>
          <w:tcPr>
            <w:tcW w:w="1203" w:type="pct"/>
            <w:shd w:val="clear" w:color="auto" w:fill="C6D9F1"/>
          </w:tcPr>
          <w:p w:rsidR="00CC0CF1" w:rsidRPr="00591362" w:rsidRDefault="00CC0CF1" w:rsidP="00EF5E0F">
            <w:pPr>
              <w:pStyle w:val="NoSpacing"/>
              <w:rPr>
                <w:b/>
                <w:sz w:val="20"/>
                <w:szCs w:val="20"/>
              </w:rPr>
            </w:pPr>
            <w:r w:rsidRPr="00591362">
              <w:rPr>
                <w:b/>
                <w:sz w:val="20"/>
                <w:szCs w:val="20"/>
              </w:rPr>
              <w:t>Source of data:</w:t>
            </w:r>
          </w:p>
        </w:tc>
        <w:tc>
          <w:tcPr>
            <w:tcW w:w="3797" w:type="pct"/>
            <w:shd w:val="clear" w:color="auto" w:fill="auto"/>
          </w:tcPr>
          <w:p w:rsidR="00CC0CF1" w:rsidRPr="00591362" w:rsidRDefault="003B39F1" w:rsidP="00EF5E0F">
            <w:pPr>
              <w:pStyle w:val="NoSpacing"/>
              <w:rPr>
                <w:rFonts w:cs="Arial"/>
                <w:sz w:val="20"/>
                <w:szCs w:val="20"/>
                <w:lang w:eastAsia="es-ES"/>
              </w:rPr>
            </w:pPr>
            <w:r>
              <w:rPr>
                <w:rFonts w:cs="Arial"/>
                <w:sz w:val="20"/>
                <w:szCs w:val="20"/>
                <w:lang w:eastAsia="es-ES"/>
              </w:rPr>
              <w:t>BR</w:t>
            </w:r>
          </w:p>
        </w:tc>
      </w:tr>
      <w:tr w:rsidR="00CC0CF1" w:rsidRPr="00591362" w:rsidTr="00EF5E0F">
        <w:trPr>
          <w:cantSplit/>
        </w:trPr>
        <w:tc>
          <w:tcPr>
            <w:tcW w:w="1203" w:type="pct"/>
            <w:shd w:val="clear" w:color="auto" w:fill="C6D9F1"/>
          </w:tcPr>
          <w:p w:rsidR="00CC0CF1" w:rsidRPr="00591362" w:rsidRDefault="00CC0CF1" w:rsidP="00EF5E0F">
            <w:pPr>
              <w:pStyle w:val="NoSpacing"/>
              <w:rPr>
                <w:b/>
                <w:sz w:val="20"/>
                <w:szCs w:val="20"/>
              </w:rPr>
            </w:pPr>
            <w:r w:rsidRPr="00591362">
              <w:rPr>
                <w:b/>
                <w:sz w:val="20"/>
                <w:szCs w:val="20"/>
              </w:rPr>
              <w:t>Monitoring method:</w:t>
            </w:r>
          </w:p>
        </w:tc>
        <w:tc>
          <w:tcPr>
            <w:tcW w:w="3797" w:type="pct"/>
            <w:shd w:val="clear" w:color="auto" w:fill="auto"/>
          </w:tcPr>
          <w:p w:rsidR="00CC0CF1" w:rsidRPr="00591362" w:rsidRDefault="003B39F1" w:rsidP="00EF5E0F">
            <w:pPr>
              <w:pStyle w:val="NoSpacing"/>
              <w:rPr>
                <w:rFonts w:cs="Arial"/>
                <w:sz w:val="20"/>
                <w:szCs w:val="20"/>
                <w:lang w:eastAsia="ja-JP"/>
              </w:rPr>
            </w:pPr>
            <w:r>
              <w:rPr>
                <w:rFonts w:cs="Arial"/>
                <w:sz w:val="20"/>
                <w:szCs w:val="20"/>
                <w:lang w:eastAsia="ja-JP"/>
              </w:rPr>
              <w:t>BR records</w:t>
            </w:r>
            <w:r w:rsidR="00CC0CF1" w:rsidRPr="00591362">
              <w:rPr>
                <w:rFonts w:cs="Arial"/>
                <w:sz w:val="20"/>
                <w:szCs w:val="20"/>
                <w:lang w:eastAsia="ja-JP"/>
              </w:rPr>
              <w:t xml:space="preserve"> </w:t>
            </w:r>
          </w:p>
        </w:tc>
      </w:tr>
      <w:tr w:rsidR="00CC0CF1" w:rsidRPr="00591362" w:rsidTr="00EF5E0F">
        <w:trPr>
          <w:cantSplit/>
        </w:trPr>
        <w:tc>
          <w:tcPr>
            <w:tcW w:w="1203" w:type="pct"/>
            <w:shd w:val="clear" w:color="auto" w:fill="C6D9F1"/>
          </w:tcPr>
          <w:p w:rsidR="00CC0CF1" w:rsidRPr="00591362" w:rsidRDefault="00CC0CF1" w:rsidP="00EF5E0F">
            <w:pPr>
              <w:pStyle w:val="NoSpacing"/>
              <w:rPr>
                <w:b/>
                <w:sz w:val="20"/>
                <w:szCs w:val="20"/>
              </w:rPr>
            </w:pPr>
            <w:r w:rsidRPr="00591362">
              <w:rPr>
                <w:b/>
                <w:sz w:val="20"/>
                <w:szCs w:val="20"/>
              </w:rPr>
              <w:t>Measuring frequency:</w:t>
            </w:r>
          </w:p>
        </w:tc>
        <w:tc>
          <w:tcPr>
            <w:tcW w:w="3797" w:type="pct"/>
            <w:shd w:val="clear" w:color="auto" w:fill="auto"/>
          </w:tcPr>
          <w:p w:rsidR="00CC0CF1" w:rsidRPr="00591362" w:rsidRDefault="00CC0CF1" w:rsidP="00EF5E0F">
            <w:pPr>
              <w:pStyle w:val="NoSpacing"/>
              <w:rPr>
                <w:rFonts w:cs="Arial"/>
                <w:sz w:val="20"/>
                <w:szCs w:val="20"/>
              </w:rPr>
            </w:pPr>
            <w:r w:rsidRPr="00591362">
              <w:rPr>
                <w:rFonts w:cs="Arial"/>
                <w:sz w:val="20"/>
                <w:szCs w:val="20"/>
              </w:rPr>
              <w:t>Continuous measurement and annual reporting</w:t>
            </w:r>
          </w:p>
        </w:tc>
      </w:tr>
      <w:tr w:rsidR="00CC0CF1" w:rsidRPr="00591362" w:rsidTr="00EF5E0F">
        <w:trPr>
          <w:cantSplit/>
        </w:trPr>
        <w:tc>
          <w:tcPr>
            <w:tcW w:w="1203" w:type="pct"/>
            <w:shd w:val="clear" w:color="auto" w:fill="C6D9F1"/>
          </w:tcPr>
          <w:p w:rsidR="00CC0CF1" w:rsidRPr="00591362" w:rsidRDefault="00CC0CF1" w:rsidP="00EF5E0F">
            <w:pPr>
              <w:pStyle w:val="NoSpacing"/>
              <w:rPr>
                <w:b/>
                <w:sz w:val="20"/>
                <w:szCs w:val="20"/>
              </w:rPr>
            </w:pPr>
            <w:r w:rsidRPr="00591362">
              <w:rPr>
                <w:b/>
                <w:sz w:val="20"/>
                <w:szCs w:val="20"/>
              </w:rPr>
              <w:t>QA/QC procedures:</w:t>
            </w:r>
          </w:p>
        </w:tc>
        <w:tc>
          <w:tcPr>
            <w:tcW w:w="3797" w:type="pct"/>
            <w:shd w:val="clear" w:color="auto" w:fill="auto"/>
          </w:tcPr>
          <w:p w:rsidR="00CC0CF1" w:rsidRPr="00591362" w:rsidRDefault="00CC0CF1" w:rsidP="00EF5E0F">
            <w:pPr>
              <w:pStyle w:val="NoSpacing"/>
              <w:rPr>
                <w:rFonts w:cs="Arial"/>
                <w:sz w:val="20"/>
                <w:szCs w:val="20"/>
              </w:rPr>
            </w:pPr>
          </w:p>
        </w:tc>
      </w:tr>
      <w:tr w:rsidR="00CC0CF1" w:rsidRPr="00591362" w:rsidTr="00EF5E0F">
        <w:trPr>
          <w:cantSplit/>
        </w:trPr>
        <w:tc>
          <w:tcPr>
            <w:tcW w:w="1203" w:type="pct"/>
            <w:shd w:val="clear" w:color="auto" w:fill="C6D9F1"/>
          </w:tcPr>
          <w:p w:rsidR="00CC0CF1" w:rsidRPr="00591362" w:rsidRDefault="00CC0CF1" w:rsidP="00EF5E0F">
            <w:pPr>
              <w:pStyle w:val="NoSpacing"/>
              <w:rPr>
                <w:b/>
                <w:sz w:val="20"/>
                <w:szCs w:val="20"/>
              </w:rPr>
            </w:pPr>
            <w:r w:rsidRPr="00591362">
              <w:rPr>
                <w:b/>
                <w:sz w:val="20"/>
                <w:szCs w:val="20"/>
              </w:rPr>
              <w:t>Comment:</w:t>
            </w:r>
          </w:p>
        </w:tc>
        <w:tc>
          <w:tcPr>
            <w:tcW w:w="3797" w:type="pct"/>
            <w:shd w:val="clear" w:color="auto" w:fill="auto"/>
          </w:tcPr>
          <w:p w:rsidR="003B39F1" w:rsidRPr="00591362" w:rsidRDefault="003B39F1" w:rsidP="00EF5E0F">
            <w:pPr>
              <w:pStyle w:val="NoSpacing"/>
              <w:rPr>
                <w:rFonts w:cs="Arial"/>
                <w:sz w:val="20"/>
                <w:szCs w:val="20"/>
                <w:lang w:eastAsia="ja-JP"/>
              </w:rPr>
            </w:pPr>
            <w:r>
              <w:rPr>
                <w:sz w:val="20"/>
                <w:szCs w:val="20"/>
              </w:rPr>
              <w:t>Used to determine the SD impact on accidents</w:t>
            </w:r>
          </w:p>
        </w:tc>
      </w:tr>
    </w:tbl>
    <w:p w:rsidR="00CC0CF1" w:rsidRDefault="00CC0CF1" w:rsidP="00CC0CF1"/>
    <w:p w:rsidR="00B35D02" w:rsidRDefault="00B35D02" w:rsidP="00B35D02">
      <w:pPr>
        <w:pStyle w:val="Heading2"/>
      </w:pPr>
      <w:bookmarkStart w:id="55" w:name="_Toc466207381"/>
      <w:r>
        <w:t>A2.3. Parameters Monitored Every 5 Years</w:t>
      </w:r>
      <w:bookmarkEnd w:id="55"/>
    </w:p>
    <w:p w:rsidR="00B35D02" w:rsidRPr="00591362" w:rsidRDefault="00B35D02" w:rsidP="00B35D02">
      <w:pPr>
        <w:pStyle w:val="NoSpacing"/>
        <w:rPr>
          <w:sz w:val="20"/>
          <w:szCs w:val="20"/>
        </w:rPr>
      </w:pP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28" w:type="dxa"/>
          <w:bottom w:w="28" w:type="dxa"/>
        </w:tblCellMar>
        <w:tblLook w:val="01E0" w:firstRow="1" w:lastRow="1" w:firstColumn="1" w:lastColumn="1" w:noHBand="0" w:noVBand="0"/>
      </w:tblPr>
      <w:tblGrid>
        <w:gridCol w:w="2164"/>
        <w:gridCol w:w="6832"/>
      </w:tblGrid>
      <w:tr w:rsidR="00B35D02" w:rsidRPr="00591362" w:rsidTr="00EF5E0F">
        <w:trPr>
          <w:cantSplit/>
        </w:trPr>
        <w:tc>
          <w:tcPr>
            <w:tcW w:w="1203" w:type="pct"/>
            <w:shd w:val="clear" w:color="auto" w:fill="C6D9F1"/>
            <w:tcMar>
              <w:top w:w="62" w:type="dxa"/>
              <w:bottom w:w="62" w:type="dxa"/>
            </w:tcMar>
          </w:tcPr>
          <w:p w:rsidR="00B35D02" w:rsidRPr="00591362" w:rsidRDefault="00B35D02" w:rsidP="00EF5E0F">
            <w:pPr>
              <w:pStyle w:val="NoSpacing"/>
              <w:rPr>
                <w:b/>
                <w:sz w:val="20"/>
                <w:szCs w:val="20"/>
              </w:rPr>
            </w:pPr>
            <w:r w:rsidRPr="00591362">
              <w:rPr>
                <w:b/>
                <w:sz w:val="20"/>
                <w:szCs w:val="20"/>
              </w:rPr>
              <w:t>ID</w:t>
            </w:r>
          </w:p>
        </w:tc>
        <w:tc>
          <w:tcPr>
            <w:tcW w:w="3797" w:type="pct"/>
            <w:shd w:val="clear" w:color="auto" w:fill="auto"/>
            <w:tcMar>
              <w:top w:w="62" w:type="dxa"/>
              <w:bottom w:w="62" w:type="dxa"/>
            </w:tcMar>
          </w:tcPr>
          <w:p w:rsidR="00B35D02" w:rsidRPr="00DE6723" w:rsidRDefault="00B35D02" w:rsidP="00EF5E0F">
            <w:pPr>
              <w:pStyle w:val="NoSpacing"/>
              <w:rPr>
                <w:rFonts w:cs="Arial"/>
                <w:b/>
                <w:sz w:val="20"/>
                <w:szCs w:val="20"/>
              </w:rPr>
            </w:pPr>
            <w:r>
              <w:rPr>
                <w:rFonts w:cs="Arial"/>
                <w:b/>
                <w:sz w:val="20"/>
                <w:szCs w:val="20"/>
              </w:rPr>
              <w:t>5</w:t>
            </w:r>
          </w:p>
        </w:tc>
      </w:tr>
      <w:tr w:rsidR="00B35D02" w:rsidRPr="00591362" w:rsidTr="00EF5E0F">
        <w:trPr>
          <w:cantSplit/>
        </w:trPr>
        <w:tc>
          <w:tcPr>
            <w:tcW w:w="1203" w:type="pct"/>
            <w:shd w:val="clear" w:color="auto" w:fill="C6D9F1"/>
            <w:tcMar>
              <w:top w:w="62" w:type="dxa"/>
              <w:bottom w:w="62" w:type="dxa"/>
            </w:tcMar>
          </w:tcPr>
          <w:p w:rsidR="00B35D02" w:rsidRPr="00591362" w:rsidRDefault="00B35D02" w:rsidP="00EF5E0F">
            <w:pPr>
              <w:pStyle w:val="NoSpacing"/>
              <w:rPr>
                <w:b/>
                <w:sz w:val="20"/>
                <w:szCs w:val="20"/>
              </w:rPr>
            </w:pPr>
            <w:r w:rsidRPr="00591362">
              <w:rPr>
                <w:b/>
                <w:sz w:val="20"/>
                <w:szCs w:val="20"/>
              </w:rPr>
              <w:t>Parameter:</w:t>
            </w:r>
          </w:p>
        </w:tc>
        <w:tc>
          <w:tcPr>
            <w:tcW w:w="3797" w:type="pct"/>
            <w:shd w:val="clear" w:color="auto" w:fill="auto"/>
            <w:tcMar>
              <w:top w:w="62" w:type="dxa"/>
              <w:bottom w:w="62" w:type="dxa"/>
            </w:tcMar>
          </w:tcPr>
          <w:p w:rsidR="00B35D02" w:rsidRPr="00591362" w:rsidRDefault="00B35D02" w:rsidP="00EF5E0F">
            <w:pPr>
              <w:pStyle w:val="NoSpacing"/>
              <w:rPr>
                <w:rFonts w:cs="Arial"/>
                <w:sz w:val="20"/>
                <w:szCs w:val="20"/>
              </w:rPr>
            </w:pPr>
            <w:r>
              <w:rPr>
                <w:rFonts w:cs="Arial"/>
                <w:sz w:val="20"/>
                <w:szCs w:val="20"/>
              </w:rPr>
              <w:t>SFC</w:t>
            </w:r>
            <w:r w:rsidRPr="00B35D02">
              <w:rPr>
                <w:rFonts w:cs="Arial"/>
                <w:sz w:val="20"/>
                <w:szCs w:val="20"/>
                <w:vertAlign w:val="subscript"/>
              </w:rPr>
              <w:t>B/T</w:t>
            </w:r>
          </w:p>
        </w:tc>
      </w:tr>
      <w:tr w:rsidR="00B35D02" w:rsidRPr="00591362" w:rsidTr="00EF5E0F">
        <w:trPr>
          <w:cantSplit/>
        </w:trPr>
        <w:tc>
          <w:tcPr>
            <w:tcW w:w="1203" w:type="pct"/>
            <w:shd w:val="clear" w:color="auto" w:fill="C6D9F1"/>
          </w:tcPr>
          <w:p w:rsidR="00B35D02" w:rsidRPr="00591362" w:rsidRDefault="00B35D02" w:rsidP="00EF5E0F">
            <w:pPr>
              <w:pStyle w:val="NoSpacing"/>
              <w:rPr>
                <w:b/>
                <w:sz w:val="20"/>
                <w:szCs w:val="20"/>
              </w:rPr>
            </w:pPr>
            <w:r w:rsidRPr="00591362">
              <w:rPr>
                <w:b/>
                <w:sz w:val="20"/>
                <w:szCs w:val="20"/>
              </w:rPr>
              <w:t>Unit:</w:t>
            </w:r>
          </w:p>
        </w:tc>
        <w:tc>
          <w:tcPr>
            <w:tcW w:w="3797" w:type="pct"/>
            <w:shd w:val="clear" w:color="auto" w:fill="auto"/>
          </w:tcPr>
          <w:p w:rsidR="00B35D02" w:rsidRPr="00591362" w:rsidRDefault="00B35D02" w:rsidP="00EF5E0F">
            <w:pPr>
              <w:pStyle w:val="NoSpacing"/>
              <w:rPr>
                <w:rFonts w:cs="Arial"/>
                <w:sz w:val="20"/>
                <w:szCs w:val="20"/>
              </w:rPr>
            </w:pPr>
            <w:r>
              <w:rPr>
                <w:rFonts w:cs="Arial"/>
                <w:sz w:val="20"/>
                <w:szCs w:val="20"/>
              </w:rPr>
              <w:t>l/100km</w:t>
            </w:r>
          </w:p>
        </w:tc>
      </w:tr>
      <w:tr w:rsidR="00B35D02" w:rsidRPr="00591362" w:rsidTr="00EF5E0F">
        <w:trPr>
          <w:cantSplit/>
        </w:trPr>
        <w:tc>
          <w:tcPr>
            <w:tcW w:w="1203" w:type="pct"/>
            <w:shd w:val="clear" w:color="auto" w:fill="C6D9F1"/>
          </w:tcPr>
          <w:p w:rsidR="00B35D02" w:rsidRPr="00591362" w:rsidRDefault="00B35D02" w:rsidP="00EF5E0F">
            <w:pPr>
              <w:pStyle w:val="NoSpacing"/>
              <w:rPr>
                <w:b/>
                <w:sz w:val="20"/>
                <w:szCs w:val="20"/>
              </w:rPr>
            </w:pPr>
            <w:r w:rsidRPr="00591362">
              <w:rPr>
                <w:b/>
                <w:sz w:val="20"/>
                <w:szCs w:val="20"/>
              </w:rPr>
              <w:t>Description:</w:t>
            </w:r>
          </w:p>
        </w:tc>
        <w:tc>
          <w:tcPr>
            <w:tcW w:w="3797" w:type="pct"/>
            <w:shd w:val="clear" w:color="auto" w:fill="auto"/>
          </w:tcPr>
          <w:p w:rsidR="00B35D02" w:rsidRPr="00591362" w:rsidRDefault="00B35D02" w:rsidP="00EF5E0F">
            <w:pPr>
              <w:pStyle w:val="NoSpacing"/>
              <w:rPr>
                <w:rFonts w:cs="Arial"/>
                <w:sz w:val="20"/>
                <w:szCs w:val="20"/>
              </w:rPr>
            </w:pPr>
            <w:r>
              <w:rPr>
                <w:rFonts w:cs="Arial"/>
                <w:sz w:val="20"/>
                <w:szCs w:val="20"/>
              </w:rPr>
              <w:t>Specific fuel consumption of inter-urban buses and trucks</w:t>
            </w:r>
          </w:p>
        </w:tc>
      </w:tr>
      <w:tr w:rsidR="00B35D02" w:rsidRPr="00591362" w:rsidTr="00EF5E0F">
        <w:trPr>
          <w:cantSplit/>
        </w:trPr>
        <w:tc>
          <w:tcPr>
            <w:tcW w:w="1203" w:type="pct"/>
            <w:shd w:val="clear" w:color="auto" w:fill="C6D9F1"/>
          </w:tcPr>
          <w:p w:rsidR="00B35D02" w:rsidRPr="00591362" w:rsidRDefault="00B35D02" w:rsidP="00EF5E0F">
            <w:pPr>
              <w:pStyle w:val="NoSpacing"/>
              <w:rPr>
                <w:b/>
                <w:sz w:val="20"/>
                <w:szCs w:val="20"/>
              </w:rPr>
            </w:pPr>
            <w:r w:rsidRPr="00591362">
              <w:rPr>
                <w:b/>
                <w:sz w:val="20"/>
                <w:szCs w:val="20"/>
              </w:rPr>
              <w:t>Source of data:</w:t>
            </w:r>
          </w:p>
        </w:tc>
        <w:tc>
          <w:tcPr>
            <w:tcW w:w="3797" w:type="pct"/>
            <w:shd w:val="clear" w:color="auto" w:fill="auto"/>
          </w:tcPr>
          <w:p w:rsidR="00B35D02" w:rsidRDefault="00B35D02" w:rsidP="00B35D02">
            <w:pPr>
              <w:jc w:val="both"/>
              <w:rPr>
                <w:sz w:val="20"/>
              </w:rPr>
            </w:pPr>
            <w:r>
              <w:rPr>
                <w:sz w:val="20"/>
              </w:rPr>
              <w:t>Potential sources of information:</w:t>
            </w:r>
          </w:p>
          <w:p w:rsidR="00B35D02" w:rsidRDefault="00B35D02" w:rsidP="00B35D02">
            <w:pPr>
              <w:pStyle w:val="ListParagraph"/>
              <w:numPr>
                <w:ilvl w:val="0"/>
                <w:numId w:val="26"/>
              </w:numPr>
              <w:jc w:val="both"/>
              <w:rPr>
                <w:sz w:val="20"/>
                <w:lang w:val="en-GB"/>
              </w:rPr>
            </w:pPr>
            <w:r>
              <w:rPr>
                <w:sz w:val="20"/>
                <w:lang w:val="en-GB"/>
              </w:rPr>
              <w:t>D</w:t>
            </w:r>
            <w:r w:rsidRPr="00B35D02">
              <w:rPr>
                <w:sz w:val="20"/>
                <w:lang w:val="en-GB"/>
              </w:rPr>
              <w:t xml:space="preserve">ata from large inter-urban bus companies </w:t>
            </w:r>
            <w:r>
              <w:rPr>
                <w:sz w:val="20"/>
                <w:lang w:val="en-GB"/>
              </w:rPr>
              <w:t>and logistics companies;</w:t>
            </w:r>
          </w:p>
          <w:p w:rsidR="00B35D02" w:rsidRDefault="00B35D02" w:rsidP="00B35D02">
            <w:pPr>
              <w:pStyle w:val="ListParagraph"/>
              <w:numPr>
                <w:ilvl w:val="0"/>
                <w:numId w:val="26"/>
              </w:numPr>
              <w:jc w:val="both"/>
              <w:rPr>
                <w:sz w:val="20"/>
                <w:lang w:val="en-GB"/>
              </w:rPr>
            </w:pPr>
            <w:r>
              <w:rPr>
                <w:sz w:val="20"/>
                <w:lang w:val="en-GB"/>
              </w:rPr>
              <w:t xml:space="preserve">Reported values of </w:t>
            </w:r>
            <w:r w:rsidRPr="00B35D02">
              <w:rPr>
                <w:sz w:val="20"/>
                <w:lang w:val="en-GB"/>
              </w:rPr>
              <w:t xml:space="preserve">literature </w:t>
            </w:r>
            <w:r>
              <w:rPr>
                <w:sz w:val="20"/>
                <w:lang w:val="en-GB"/>
              </w:rPr>
              <w:t>with a transparent procedure how data was collected;</w:t>
            </w:r>
          </w:p>
          <w:p w:rsidR="00B35D02" w:rsidRPr="00B35D02" w:rsidRDefault="00B35D02" w:rsidP="00B35D02">
            <w:pPr>
              <w:pStyle w:val="ListParagraph"/>
              <w:numPr>
                <w:ilvl w:val="0"/>
                <w:numId w:val="26"/>
              </w:numPr>
              <w:jc w:val="both"/>
              <w:rPr>
                <w:sz w:val="20"/>
                <w:lang w:val="en-GB"/>
              </w:rPr>
            </w:pPr>
            <w:r>
              <w:rPr>
                <w:sz w:val="20"/>
                <w:lang w:val="en-GB"/>
              </w:rPr>
              <w:t>Sample measurements of trucks e.g. with installation of fuel-measurement equipment or with collection of fuel invoices and GPS route tracking</w:t>
            </w:r>
          </w:p>
        </w:tc>
      </w:tr>
      <w:tr w:rsidR="00B35D02" w:rsidRPr="00591362" w:rsidTr="00EF5E0F">
        <w:trPr>
          <w:cantSplit/>
        </w:trPr>
        <w:tc>
          <w:tcPr>
            <w:tcW w:w="1203" w:type="pct"/>
            <w:shd w:val="clear" w:color="auto" w:fill="C6D9F1"/>
          </w:tcPr>
          <w:p w:rsidR="00B35D02" w:rsidRPr="00591362" w:rsidRDefault="00B35D02" w:rsidP="00EF5E0F">
            <w:pPr>
              <w:pStyle w:val="NoSpacing"/>
              <w:rPr>
                <w:b/>
                <w:sz w:val="20"/>
                <w:szCs w:val="20"/>
              </w:rPr>
            </w:pPr>
            <w:r w:rsidRPr="00591362">
              <w:rPr>
                <w:b/>
                <w:sz w:val="20"/>
                <w:szCs w:val="20"/>
              </w:rPr>
              <w:t>Monitoring method:</w:t>
            </w:r>
          </w:p>
        </w:tc>
        <w:tc>
          <w:tcPr>
            <w:tcW w:w="3797" w:type="pct"/>
            <w:shd w:val="clear" w:color="auto" w:fill="auto"/>
          </w:tcPr>
          <w:p w:rsidR="00B35D02" w:rsidRPr="00591362" w:rsidRDefault="00B35D02" w:rsidP="00EF5E0F">
            <w:pPr>
              <w:pStyle w:val="NoSpacing"/>
              <w:rPr>
                <w:rFonts w:cs="Arial"/>
                <w:sz w:val="20"/>
                <w:szCs w:val="20"/>
                <w:lang w:eastAsia="ja-JP"/>
              </w:rPr>
            </w:pPr>
            <w:r>
              <w:rPr>
                <w:rFonts w:cs="Arial"/>
                <w:sz w:val="20"/>
                <w:szCs w:val="20"/>
                <w:lang w:eastAsia="ja-JP"/>
              </w:rPr>
              <w:t>Reports, surveys or sample measurements</w:t>
            </w:r>
          </w:p>
        </w:tc>
      </w:tr>
      <w:tr w:rsidR="00B35D02" w:rsidRPr="00591362" w:rsidTr="00EF5E0F">
        <w:trPr>
          <w:cantSplit/>
        </w:trPr>
        <w:tc>
          <w:tcPr>
            <w:tcW w:w="1203" w:type="pct"/>
            <w:shd w:val="clear" w:color="auto" w:fill="C6D9F1"/>
          </w:tcPr>
          <w:p w:rsidR="00B35D02" w:rsidRPr="00591362" w:rsidRDefault="00B35D02" w:rsidP="00EF5E0F">
            <w:pPr>
              <w:pStyle w:val="NoSpacing"/>
              <w:rPr>
                <w:b/>
                <w:sz w:val="20"/>
                <w:szCs w:val="20"/>
              </w:rPr>
            </w:pPr>
            <w:r w:rsidRPr="00591362">
              <w:rPr>
                <w:b/>
                <w:sz w:val="20"/>
                <w:szCs w:val="20"/>
              </w:rPr>
              <w:t>Measuring frequency:</w:t>
            </w:r>
          </w:p>
        </w:tc>
        <w:tc>
          <w:tcPr>
            <w:tcW w:w="3797" w:type="pct"/>
            <w:shd w:val="clear" w:color="auto" w:fill="auto"/>
          </w:tcPr>
          <w:p w:rsidR="00B35D02" w:rsidRPr="00591362" w:rsidRDefault="00B35D02" w:rsidP="00EF5E0F">
            <w:pPr>
              <w:pStyle w:val="NoSpacing"/>
              <w:rPr>
                <w:rFonts w:cs="Arial"/>
                <w:sz w:val="20"/>
                <w:szCs w:val="20"/>
              </w:rPr>
            </w:pPr>
            <w:r>
              <w:rPr>
                <w:rFonts w:cs="Arial"/>
                <w:sz w:val="20"/>
                <w:szCs w:val="20"/>
              </w:rPr>
              <w:t>Every 5 years (e.g. 2020, 2025, 2030)</w:t>
            </w:r>
          </w:p>
        </w:tc>
      </w:tr>
      <w:tr w:rsidR="00B35D02" w:rsidRPr="00591362" w:rsidTr="00EF5E0F">
        <w:trPr>
          <w:cantSplit/>
        </w:trPr>
        <w:tc>
          <w:tcPr>
            <w:tcW w:w="1203" w:type="pct"/>
            <w:shd w:val="clear" w:color="auto" w:fill="C6D9F1"/>
          </w:tcPr>
          <w:p w:rsidR="00B35D02" w:rsidRPr="00591362" w:rsidRDefault="00B35D02" w:rsidP="00EF5E0F">
            <w:pPr>
              <w:pStyle w:val="NoSpacing"/>
              <w:rPr>
                <w:b/>
                <w:sz w:val="20"/>
                <w:szCs w:val="20"/>
              </w:rPr>
            </w:pPr>
            <w:r w:rsidRPr="00591362">
              <w:rPr>
                <w:b/>
                <w:sz w:val="20"/>
                <w:szCs w:val="20"/>
              </w:rPr>
              <w:t>QA/QC procedures:</w:t>
            </w:r>
          </w:p>
        </w:tc>
        <w:tc>
          <w:tcPr>
            <w:tcW w:w="3797" w:type="pct"/>
            <w:shd w:val="clear" w:color="auto" w:fill="auto"/>
          </w:tcPr>
          <w:p w:rsidR="00B35D02" w:rsidRPr="00591362" w:rsidRDefault="00B35D02" w:rsidP="00B35D02">
            <w:pPr>
              <w:pStyle w:val="NoSpacing"/>
              <w:rPr>
                <w:rFonts w:cs="Arial"/>
                <w:sz w:val="20"/>
                <w:szCs w:val="20"/>
              </w:rPr>
            </w:pPr>
            <w:r>
              <w:rPr>
                <w:rFonts w:cs="Arial"/>
                <w:sz w:val="20"/>
                <w:szCs w:val="20"/>
              </w:rPr>
              <w:t>Comparison with Copert value per vehicle category based on average load factor, speed, gradient and Euro standard</w:t>
            </w:r>
          </w:p>
        </w:tc>
      </w:tr>
      <w:tr w:rsidR="00B35D02" w:rsidRPr="00591362" w:rsidTr="00EF5E0F">
        <w:trPr>
          <w:cantSplit/>
        </w:trPr>
        <w:tc>
          <w:tcPr>
            <w:tcW w:w="1203" w:type="pct"/>
            <w:shd w:val="clear" w:color="auto" w:fill="C6D9F1"/>
          </w:tcPr>
          <w:p w:rsidR="00B35D02" w:rsidRPr="00591362" w:rsidRDefault="00B35D02" w:rsidP="00EF5E0F">
            <w:pPr>
              <w:pStyle w:val="NoSpacing"/>
              <w:rPr>
                <w:b/>
                <w:sz w:val="20"/>
                <w:szCs w:val="20"/>
              </w:rPr>
            </w:pPr>
            <w:r w:rsidRPr="00591362">
              <w:rPr>
                <w:b/>
                <w:sz w:val="20"/>
                <w:szCs w:val="20"/>
              </w:rPr>
              <w:t>Comment:</w:t>
            </w:r>
          </w:p>
        </w:tc>
        <w:tc>
          <w:tcPr>
            <w:tcW w:w="3797" w:type="pct"/>
            <w:shd w:val="clear" w:color="auto" w:fill="auto"/>
          </w:tcPr>
          <w:p w:rsidR="00B35D02" w:rsidRPr="00591362" w:rsidRDefault="00B35D02" w:rsidP="00EF5E0F">
            <w:pPr>
              <w:pStyle w:val="NoSpacing"/>
              <w:rPr>
                <w:rFonts w:cs="Arial"/>
                <w:sz w:val="20"/>
                <w:szCs w:val="20"/>
                <w:lang w:eastAsia="ja-JP"/>
              </w:rPr>
            </w:pPr>
          </w:p>
        </w:tc>
      </w:tr>
    </w:tbl>
    <w:p w:rsidR="00B35D02" w:rsidRPr="00591362" w:rsidRDefault="00B35D02" w:rsidP="00B35D02">
      <w:pPr>
        <w:pStyle w:val="NoSpacing"/>
        <w:rPr>
          <w:sz w:val="20"/>
          <w:szCs w:val="20"/>
        </w:rPr>
      </w:pP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28" w:type="dxa"/>
          <w:bottom w:w="28" w:type="dxa"/>
        </w:tblCellMar>
        <w:tblLook w:val="01E0" w:firstRow="1" w:lastRow="1" w:firstColumn="1" w:lastColumn="1" w:noHBand="0" w:noVBand="0"/>
      </w:tblPr>
      <w:tblGrid>
        <w:gridCol w:w="2164"/>
        <w:gridCol w:w="6832"/>
      </w:tblGrid>
      <w:tr w:rsidR="00B35D02" w:rsidRPr="00591362" w:rsidTr="00EF5E0F">
        <w:trPr>
          <w:cantSplit/>
        </w:trPr>
        <w:tc>
          <w:tcPr>
            <w:tcW w:w="1203" w:type="pct"/>
            <w:shd w:val="clear" w:color="auto" w:fill="C6D9F1"/>
            <w:tcMar>
              <w:top w:w="62" w:type="dxa"/>
              <w:bottom w:w="62" w:type="dxa"/>
            </w:tcMar>
          </w:tcPr>
          <w:p w:rsidR="00B35D02" w:rsidRPr="00591362" w:rsidRDefault="00B35D02" w:rsidP="00EF5E0F">
            <w:pPr>
              <w:pStyle w:val="NoSpacing"/>
              <w:rPr>
                <w:b/>
                <w:sz w:val="20"/>
                <w:szCs w:val="20"/>
              </w:rPr>
            </w:pPr>
            <w:r w:rsidRPr="00591362">
              <w:rPr>
                <w:b/>
                <w:sz w:val="20"/>
                <w:szCs w:val="20"/>
              </w:rPr>
              <w:t>ID</w:t>
            </w:r>
          </w:p>
        </w:tc>
        <w:tc>
          <w:tcPr>
            <w:tcW w:w="3797" w:type="pct"/>
            <w:shd w:val="clear" w:color="auto" w:fill="auto"/>
            <w:tcMar>
              <w:top w:w="62" w:type="dxa"/>
              <w:bottom w:w="62" w:type="dxa"/>
            </w:tcMar>
          </w:tcPr>
          <w:p w:rsidR="00B35D02" w:rsidRPr="00DE6723" w:rsidRDefault="00B35D02" w:rsidP="00EF5E0F">
            <w:pPr>
              <w:pStyle w:val="NoSpacing"/>
              <w:rPr>
                <w:rFonts w:cs="Arial"/>
                <w:b/>
                <w:sz w:val="20"/>
                <w:szCs w:val="20"/>
              </w:rPr>
            </w:pPr>
            <w:r>
              <w:rPr>
                <w:rFonts w:cs="Arial"/>
                <w:b/>
                <w:sz w:val="20"/>
                <w:szCs w:val="20"/>
              </w:rPr>
              <w:t>6</w:t>
            </w:r>
          </w:p>
        </w:tc>
      </w:tr>
      <w:tr w:rsidR="00B35D02" w:rsidRPr="00591362" w:rsidTr="00EF5E0F">
        <w:trPr>
          <w:cantSplit/>
        </w:trPr>
        <w:tc>
          <w:tcPr>
            <w:tcW w:w="1203" w:type="pct"/>
            <w:shd w:val="clear" w:color="auto" w:fill="C6D9F1"/>
            <w:tcMar>
              <w:top w:w="62" w:type="dxa"/>
              <w:bottom w:w="62" w:type="dxa"/>
            </w:tcMar>
          </w:tcPr>
          <w:p w:rsidR="00B35D02" w:rsidRPr="00591362" w:rsidRDefault="00B35D02" w:rsidP="00EF5E0F">
            <w:pPr>
              <w:pStyle w:val="NoSpacing"/>
              <w:rPr>
                <w:b/>
                <w:sz w:val="20"/>
                <w:szCs w:val="20"/>
              </w:rPr>
            </w:pPr>
            <w:r w:rsidRPr="00591362">
              <w:rPr>
                <w:b/>
                <w:sz w:val="20"/>
                <w:szCs w:val="20"/>
              </w:rPr>
              <w:t>Parameter:</w:t>
            </w:r>
          </w:p>
        </w:tc>
        <w:tc>
          <w:tcPr>
            <w:tcW w:w="3797" w:type="pct"/>
            <w:shd w:val="clear" w:color="auto" w:fill="auto"/>
            <w:tcMar>
              <w:top w:w="62" w:type="dxa"/>
              <w:bottom w:w="62" w:type="dxa"/>
            </w:tcMar>
          </w:tcPr>
          <w:p w:rsidR="00B35D02" w:rsidRPr="00B35D02" w:rsidRDefault="00B35D02" w:rsidP="00EF5E0F">
            <w:pPr>
              <w:pStyle w:val="NoSpacing"/>
              <w:rPr>
                <w:rFonts w:cs="Arial"/>
                <w:sz w:val="20"/>
                <w:szCs w:val="20"/>
              </w:rPr>
            </w:pPr>
            <w:r>
              <w:rPr>
                <w:rFonts w:cs="Arial"/>
                <w:sz w:val="20"/>
                <w:szCs w:val="20"/>
              </w:rPr>
              <w:t>OC</w:t>
            </w:r>
            <w:r>
              <w:rPr>
                <w:rFonts w:cs="Arial"/>
                <w:sz w:val="20"/>
                <w:szCs w:val="20"/>
                <w:vertAlign w:val="subscript"/>
              </w:rPr>
              <w:t xml:space="preserve">B </w:t>
            </w:r>
            <w:r>
              <w:rPr>
                <w:rFonts w:cs="Arial"/>
                <w:sz w:val="20"/>
                <w:szCs w:val="20"/>
              </w:rPr>
              <w:t>and LF</w:t>
            </w:r>
            <w:r w:rsidRPr="00B35D02">
              <w:rPr>
                <w:rFonts w:cs="Arial"/>
                <w:sz w:val="20"/>
                <w:szCs w:val="20"/>
                <w:vertAlign w:val="subscript"/>
              </w:rPr>
              <w:t>T</w:t>
            </w:r>
          </w:p>
        </w:tc>
      </w:tr>
      <w:tr w:rsidR="00B35D02" w:rsidRPr="00591362" w:rsidTr="00EF5E0F">
        <w:trPr>
          <w:cantSplit/>
        </w:trPr>
        <w:tc>
          <w:tcPr>
            <w:tcW w:w="1203" w:type="pct"/>
            <w:shd w:val="clear" w:color="auto" w:fill="C6D9F1"/>
          </w:tcPr>
          <w:p w:rsidR="00B35D02" w:rsidRPr="00591362" w:rsidRDefault="00B35D02" w:rsidP="00EF5E0F">
            <w:pPr>
              <w:pStyle w:val="NoSpacing"/>
              <w:rPr>
                <w:b/>
                <w:sz w:val="20"/>
                <w:szCs w:val="20"/>
              </w:rPr>
            </w:pPr>
            <w:r w:rsidRPr="00591362">
              <w:rPr>
                <w:b/>
                <w:sz w:val="20"/>
                <w:szCs w:val="20"/>
              </w:rPr>
              <w:t>Unit:</w:t>
            </w:r>
          </w:p>
        </w:tc>
        <w:tc>
          <w:tcPr>
            <w:tcW w:w="3797" w:type="pct"/>
            <w:shd w:val="clear" w:color="auto" w:fill="auto"/>
          </w:tcPr>
          <w:p w:rsidR="00B35D02" w:rsidRPr="00591362" w:rsidRDefault="00B35D02" w:rsidP="00B35D02">
            <w:pPr>
              <w:pStyle w:val="NoSpacing"/>
              <w:rPr>
                <w:rFonts w:cs="Arial"/>
                <w:sz w:val="20"/>
                <w:szCs w:val="20"/>
              </w:rPr>
            </w:pPr>
            <w:r>
              <w:rPr>
                <w:rFonts w:cs="Arial"/>
                <w:sz w:val="20"/>
                <w:szCs w:val="20"/>
              </w:rPr>
              <w:t>Passengers per bus and net tons per truck</w:t>
            </w:r>
          </w:p>
        </w:tc>
      </w:tr>
      <w:tr w:rsidR="00B35D02" w:rsidRPr="00591362" w:rsidTr="00EF5E0F">
        <w:trPr>
          <w:cantSplit/>
        </w:trPr>
        <w:tc>
          <w:tcPr>
            <w:tcW w:w="1203" w:type="pct"/>
            <w:shd w:val="clear" w:color="auto" w:fill="C6D9F1"/>
          </w:tcPr>
          <w:p w:rsidR="00B35D02" w:rsidRPr="00591362" w:rsidRDefault="00B35D02" w:rsidP="00EF5E0F">
            <w:pPr>
              <w:pStyle w:val="NoSpacing"/>
              <w:rPr>
                <w:b/>
                <w:sz w:val="20"/>
                <w:szCs w:val="20"/>
              </w:rPr>
            </w:pPr>
            <w:r w:rsidRPr="00591362">
              <w:rPr>
                <w:b/>
                <w:sz w:val="20"/>
                <w:szCs w:val="20"/>
              </w:rPr>
              <w:t>Description:</w:t>
            </w:r>
          </w:p>
        </w:tc>
        <w:tc>
          <w:tcPr>
            <w:tcW w:w="3797" w:type="pct"/>
            <w:shd w:val="clear" w:color="auto" w:fill="auto"/>
          </w:tcPr>
          <w:p w:rsidR="00B35D02" w:rsidRPr="00591362" w:rsidRDefault="00B35D02" w:rsidP="00EF5E0F">
            <w:pPr>
              <w:pStyle w:val="NoSpacing"/>
              <w:rPr>
                <w:rFonts w:cs="Arial"/>
                <w:sz w:val="20"/>
                <w:szCs w:val="20"/>
              </w:rPr>
            </w:pPr>
            <w:r>
              <w:rPr>
                <w:rFonts w:cs="Arial"/>
                <w:sz w:val="20"/>
                <w:szCs w:val="20"/>
              </w:rPr>
              <w:t>Average occupation rates of buses and average load factors of trucks</w:t>
            </w:r>
          </w:p>
        </w:tc>
      </w:tr>
      <w:tr w:rsidR="00B35D02" w:rsidRPr="00591362" w:rsidTr="00EF5E0F">
        <w:trPr>
          <w:cantSplit/>
        </w:trPr>
        <w:tc>
          <w:tcPr>
            <w:tcW w:w="1203" w:type="pct"/>
            <w:shd w:val="clear" w:color="auto" w:fill="C6D9F1"/>
          </w:tcPr>
          <w:p w:rsidR="00B35D02" w:rsidRPr="00591362" w:rsidRDefault="00B35D02" w:rsidP="00EF5E0F">
            <w:pPr>
              <w:pStyle w:val="NoSpacing"/>
              <w:rPr>
                <w:b/>
                <w:sz w:val="20"/>
                <w:szCs w:val="20"/>
              </w:rPr>
            </w:pPr>
            <w:r w:rsidRPr="00591362">
              <w:rPr>
                <w:b/>
                <w:sz w:val="20"/>
                <w:szCs w:val="20"/>
              </w:rPr>
              <w:t>Source of data:</w:t>
            </w:r>
          </w:p>
        </w:tc>
        <w:tc>
          <w:tcPr>
            <w:tcW w:w="3797" w:type="pct"/>
            <w:shd w:val="clear" w:color="auto" w:fill="auto"/>
          </w:tcPr>
          <w:p w:rsidR="00B35D02" w:rsidRDefault="00B35D02" w:rsidP="00EF5E0F">
            <w:pPr>
              <w:jc w:val="both"/>
              <w:rPr>
                <w:sz w:val="20"/>
              </w:rPr>
            </w:pPr>
            <w:r>
              <w:rPr>
                <w:sz w:val="20"/>
              </w:rPr>
              <w:t>Potential sources of information:</w:t>
            </w:r>
          </w:p>
          <w:p w:rsidR="00B35D02" w:rsidRDefault="00B35D02" w:rsidP="00EF5E0F">
            <w:pPr>
              <w:pStyle w:val="ListParagraph"/>
              <w:numPr>
                <w:ilvl w:val="0"/>
                <w:numId w:val="26"/>
              </w:numPr>
              <w:jc w:val="both"/>
              <w:rPr>
                <w:sz w:val="20"/>
                <w:lang w:val="en-GB"/>
              </w:rPr>
            </w:pPr>
            <w:r>
              <w:rPr>
                <w:sz w:val="20"/>
                <w:lang w:val="en-GB"/>
              </w:rPr>
              <w:t>D</w:t>
            </w:r>
            <w:r w:rsidRPr="00B35D02">
              <w:rPr>
                <w:sz w:val="20"/>
                <w:lang w:val="en-GB"/>
              </w:rPr>
              <w:t xml:space="preserve">ata from large inter-urban bus companies </w:t>
            </w:r>
            <w:r>
              <w:rPr>
                <w:sz w:val="20"/>
                <w:lang w:val="en-GB"/>
              </w:rPr>
              <w:t>and logistics companies;</w:t>
            </w:r>
          </w:p>
          <w:p w:rsidR="00B35D02" w:rsidRDefault="00B35D02" w:rsidP="00EF5E0F">
            <w:pPr>
              <w:pStyle w:val="ListParagraph"/>
              <w:numPr>
                <w:ilvl w:val="0"/>
                <w:numId w:val="26"/>
              </w:numPr>
              <w:jc w:val="both"/>
              <w:rPr>
                <w:sz w:val="20"/>
                <w:lang w:val="en-GB"/>
              </w:rPr>
            </w:pPr>
            <w:r>
              <w:rPr>
                <w:sz w:val="20"/>
                <w:lang w:val="en-GB"/>
              </w:rPr>
              <w:t xml:space="preserve">Reported values of </w:t>
            </w:r>
            <w:r w:rsidRPr="00B35D02">
              <w:rPr>
                <w:sz w:val="20"/>
                <w:lang w:val="en-GB"/>
              </w:rPr>
              <w:t xml:space="preserve">literature </w:t>
            </w:r>
            <w:r>
              <w:rPr>
                <w:sz w:val="20"/>
                <w:lang w:val="en-GB"/>
              </w:rPr>
              <w:t>with a transparent procedure how data was collected;</w:t>
            </w:r>
          </w:p>
          <w:p w:rsidR="00B35D02" w:rsidRDefault="00B35D02" w:rsidP="00EF5E0F">
            <w:pPr>
              <w:pStyle w:val="ListParagraph"/>
              <w:numPr>
                <w:ilvl w:val="0"/>
                <w:numId w:val="26"/>
              </w:numPr>
              <w:jc w:val="both"/>
              <w:rPr>
                <w:sz w:val="20"/>
                <w:lang w:val="en-GB"/>
              </w:rPr>
            </w:pPr>
            <w:r>
              <w:rPr>
                <w:sz w:val="20"/>
                <w:lang w:val="en-GB"/>
              </w:rPr>
              <w:t>Surveys of trucks or commodity flow surveys;</w:t>
            </w:r>
          </w:p>
          <w:p w:rsidR="00B35D02" w:rsidRPr="00B35D02" w:rsidRDefault="00B35D02" w:rsidP="00EF5E0F">
            <w:pPr>
              <w:pStyle w:val="ListParagraph"/>
              <w:numPr>
                <w:ilvl w:val="0"/>
                <w:numId w:val="26"/>
              </w:numPr>
              <w:jc w:val="both"/>
              <w:rPr>
                <w:sz w:val="20"/>
                <w:lang w:val="en-GB"/>
              </w:rPr>
            </w:pPr>
            <w:r>
              <w:rPr>
                <w:sz w:val="20"/>
                <w:lang w:val="en-GB"/>
              </w:rPr>
              <w:t>Visual occupation studies for bus or on-road surveys</w:t>
            </w:r>
          </w:p>
        </w:tc>
      </w:tr>
      <w:tr w:rsidR="00B35D02" w:rsidRPr="00591362" w:rsidTr="00EF5E0F">
        <w:trPr>
          <w:cantSplit/>
        </w:trPr>
        <w:tc>
          <w:tcPr>
            <w:tcW w:w="1203" w:type="pct"/>
            <w:shd w:val="clear" w:color="auto" w:fill="C6D9F1"/>
          </w:tcPr>
          <w:p w:rsidR="00B35D02" w:rsidRPr="00591362" w:rsidRDefault="00B35D02" w:rsidP="00EF5E0F">
            <w:pPr>
              <w:pStyle w:val="NoSpacing"/>
              <w:rPr>
                <w:b/>
                <w:sz w:val="20"/>
                <w:szCs w:val="20"/>
              </w:rPr>
            </w:pPr>
            <w:r w:rsidRPr="00591362">
              <w:rPr>
                <w:b/>
                <w:sz w:val="20"/>
                <w:szCs w:val="20"/>
              </w:rPr>
              <w:lastRenderedPageBreak/>
              <w:t>Monitoring method:</w:t>
            </w:r>
          </w:p>
        </w:tc>
        <w:tc>
          <w:tcPr>
            <w:tcW w:w="3797" w:type="pct"/>
            <w:shd w:val="clear" w:color="auto" w:fill="auto"/>
          </w:tcPr>
          <w:p w:rsidR="00B35D02" w:rsidRDefault="00B35D02" w:rsidP="00EF5E0F">
            <w:pPr>
              <w:pStyle w:val="NoSpacing"/>
              <w:rPr>
                <w:rFonts w:cs="Arial"/>
                <w:sz w:val="20"/>
                <w:szCs w:val="20"/>
                <w:lang w:eastAsia="ja-JP"/>
              </w:rPr>
            </w:pPr>
            <w:r>
              <w:rPr>
                <w:rFonts w:cs="Arial"/>
                <w:sz w:val="20"/>
                <w:szCs w:val="20"/>
                <w:lang w:eastAsia="ja-JP"/>
              </w:rPr>
              <w:t>Reports, surveys or sample measurements</w:t>
            </w:r>
          </w:p>
          <w:p w:rsidR="00B35D02" w:rsidRDefault="00B35D02" w:rsidP="00EF5E0F">
            <w:pPr>
              <w:pStyle w:val="NoSpacing"/>
              <w:rPr>
                <w:rFonts w:cs="Arial"/>
                <w:sz w:val="20"/>
                <w:szCs w:val="20"/>
                <w:lang w:eastAsia="ja-JP"/>
              </w:rPr>
            </w:pPr>
            <w:r>
              <w:rPr>
                <w:rFonts w:cs="Arial"/>
                <w:sz w:val="20"/>
                <w:szCs w:val="20"/>
                <w:lang w:eastAsia="ja-JP"/>
              </w:rPr>
              <w:t>For trucks the net load factor needs to be taken (total GVW minus tara weight of truck). This can be estimated based on percentage of load and applying this percentage to the load capacity of trucks</w:t>
            </w:r>
            <w:r w:rsidR="00D217FC">
              <w:rPr>
                <w:rFonts w:cs="Arial"/>
                <w:sz w:val="20"/>
                <w:szCs w:val="20"/>
                <w:lang w:eastAsia="ja-JP"/>
              </w:rPr>
              <w:t>.</w:t>
            </w:r>
          </w:p>
          <w:p w:rsidR="00D217FC" w:rsidRDefault="00D217FC" w:rsidP="00EF5E0F">
            <w:pPr>
              <w:pStyle w:val="NoSpacing"/>
              <w:rPr>
                <w:rFonts w:cs="Arial"/>
                <w:sz w:val="20"/>
                <w:szCs w:val="20"/>
                <w:lang w:eastAsia="ja-JP"/>
              </w:rPr>
            </w:pPr>
            <w:r>
              <w:rPr>
                <w:rFonts w:cs="Arial"/>
                <w:sz w:val="20"/>
                <w:szCs w:val="20"/>
                <w:lang w:eastAsia="ja-JP"/>
              </w:rPr>
              <w:t>For buses the average occupation rate of buses based on surveys needs to be multiplied with the maximum carrying capacity of the bus.</w:t>
            </w:r>
          </w:p>
          <w:p w:rsidR="00D217FC" w:rsidRPr="00591362" w:rsidRDefault="00D217FC" w:rsidP="00D217FC">
            <w:pPr>
              <w:pStyle w:val="NoSpacing"/>
              <w:rPr>
                <w:rFonts w:cs="Arial"/>
                <w:sz w:val="20"/>
                <w:szCs w:val="20"/>
                <w:lang w:eastAsia="ja-JP"/>
              </w:rPr>
            </w:pPr>
            <w:r w:rsidRPr="00D217FC">
              <w:rPr>
                <w:rFonts w:cs="Arial"/>
                <w:sz w:val="20"/>
                <w:szCs w:val="20"/>
                <w:lang w:eastAsia="ja-JP"/>
              </w:rPr>
              <w:t>Measurements must be conducted outside urban areas. The sample must be randomized taking either all vehicles passing or every n</w:t>
            </w:r>
            <w:r w:rsidRPr="00D217FC">
              <w:rPr>
                <w:rFonts w:cs="Arial"/>
                <w:sz w:val="20"/>
                <w:szCs w:val="20"/>
                <w:vertAlign w:val="superscript"/>
                <w:lang w:eastAsia="ja-JP"/>
              </w:rPr>
              <w:t>th</w:t>
            </w:r>
            <w:r w:rsidRPr="00D217FC">
              <w:rPr>
                <w:rFonts w:cs="Arial"/>
                <w:sz w:val="20"/>
                <w:szCs w:val="20"/>
                <w:lang w:eastAsia="ja-JP"/>
              </w:rPr>
              <w:t xml:space="preserve"> vehicle passing. Sampling must be done at least in 2 different geographical locations during minimum 2 days. The sample size must be sufficient for a 95% confidence level and a 5% maximum error bound of a point estimation using a simple random sample. </w:t>
            </w:r>
          </w:p>
        </w:tc>
      </w:tr>
      <w:tr w:rsidR="00B35D02" w:rsidRPr="00591362" w:rsidTr="00EF5E0F">
        <w:trPr>
          <w:cantSplit/>
        </w:trPr>
        <w:tc>
          <w:tcPr>
            <w:tcW w:w="1203" w:type="pct"/>
            <w:shd w:val="clear" w:color="auto" w:fill="C6D9F1"/>
          </w:tcPr>
          <w:p w:rsidR="00B35D02" w:rsidRPr="00591362" w:rsidRDefault="00B35D02" w:rsidP="00EF5E0F">
            <w:pPr>
              <w:pStyle w:val="NoSpacing"/>
              <w:rPr>
                <w:b/>
                <w:sz w:val="20"/>
                <w:szCs w:val="20"/>
              </w:rPr>
            </w:pPr>
            <w:r w:rsidRPr="00591362">
              <w:rPr>
                <w:b/>
                <w:sz w:val="20"/>
                <w:szCs w:val="20"/>
              </w:rPr>
              <w:t>Measuring frequency:</w:t>
            </w:r>
          </w:p>
        </w:tc>
        <w:tc>
          <w:tcPr>
            <w:tcW w:w="3797" w:type="pct"/>
            <w:shd w:val="clear" w:color="auto" w:fill="auto"/>
          </w:tcPr>
          <w:p w:rsidR="00B35D02" w:rsidRPr="00591362" w:rsidRDefault="00B35D02" w:rsidP="00EF5E0F">
            <w:pPr>
              <w:pStyle w:val="NoSpacing"/>
              <w:rPr>
                <w:rFonts w:cs="Arial"/>
                <w:sz w:val="20"/>
                <w:szCs w:val="20"/>
              </w:rPr>
            </w:pPr>
            <w:r>
              <w:rPr>
                <w:rFonts w:cs="Arial"/>
                <w:sz w:val="20"/>
                <w:szCs w:val="20"/>
              </w:rPr>
              <w:t>Every 5 years (e.g. 2020, 2025, 2030)</w:t>
            </w:r>
          </w:p>
        </w:tc>
      </w:tr>
      <w:tr w:rsidR="00B35D02" w:rsidRPr="00591362" w:rsidTr="00EF5E0F">
        <w:trPr>
          <w:cantSplit/>
        </w:trPr>
        <w:tc>
          <w:tcPr>
            <w:tcW w:w="1203" w:type="pct"/>
            <w:shd w:val="clear" w:color="auto" w:fill="C6D9F1"/>
          </w:tcPr>
          <w:p w:rsidR="00B35D02" w:rsidRPr="00591362" w:rsidRDefault="00B35D02" w:rsidP="00EF5E0F">
            <w:pPr>
              <w:pStyle w:val="NoSpacing"/>
              <w:rPr>
                <w:b/>
                <w:sz w:val="20"/>
                <w:szCs w:val="20"/>
              </w:rPr>
            </w:pPr>
            <w:r w:rsidRPr="00591362">
              <w:rPr>
                <w:b/>
                <w:sz w:val="20"/>
                <w:szCs w:val="20"/>
              </w:rPr>
              <w:t>QA/QC procedures:</w:t>
            </w:r>
          </w:p>
        </w:tc>
        <w:tc>
          <w:tcPr>
            <w:tcW w:w="3797" w:type="pct"/>
            <w:shd w:val="clear" w:color="auto" w:fill="auto"/>
          </w:tcPr>
          <w:p w:rsidR="00B35D02" w:rsidRPr="00591362" w:rsidRDefault="00D217FC" w:rsidP="00EF5E0F">
            <w:pPr>
              <w:pStyle w:val="NoSpacing"/>
              <w:rPr>
                <w:rFonts w:cs="Arial"/>
                <w:sz w:val="20"/>
                <w:szCs w:val="20"/>
              </w:rPr>
            </w:pPr>
            <w:r>
              <w:rPr>
                <w:rFonts w:cs="Arial"/>
                <w:sz w:val="20"/>
                <w:szCs w:val="20"/>
              </w:rPr>
              <w:t>Comparison with former values</w:t>
            </w:r>
          </w:p>
        </w:tc>
      </w:tr>
      <w:tr w:rsidR="00B35D02" w:rsidRPr="00591362" w:rsidTr="00EF5E0F">
        <w:trPr>
          <w:cantSplit/>
        </w:trPr>
        <w:tc>
          <w:tcPr>
            <w:tcW w:w="1203" w:type="pct"/>
            <w:shd w:val="clear" w:color="auto" w:fill="C6D9F1"/>
          </w:tcPr>
          <w:p w:rsidR="00B35D02" w:rsidRPr="00591362" w:rsidRDefault="00B35D02" w:rsidP="00EF5E0F">
            <w:pPr>
              <w:pStyle w:val="NoSpacing"/>
              <w:rPr>
                <w:b/>
                <w:sz w:val="20"/>
                <w:szCs w:val="20"/>
              </w:rPr>
            </w:pPr>
            <w:r w:rsidRPr="00591362">
              <w:rPr>
                <w:b/>
                <w:sz w:val="20"/>
                <w:szCs w:val="20"/>
              </w:rPr>
              <w:t>Comment:</w:t>
            </w:r>
          </w:p>
        </w:tc>
        <w:tc>
          <w:tcPr>
            <w:tcW w:w="3797" w:type="pct"/>
            <w:shd w:val="clear" w:color="auto" w:fill="auto"/>
          </w:tcPr>
          <w:p w:rsidR="00B35D02" w:rsidRPr="00591362" w:rsidRDefault="00B35D02" w:rsidP="00EF5E0F">
            <w:pPr>
              <w:pStyle w:val="NoSpacing"/>
              <w:rPr>
                <w:rFonts w:cs="Arial"/>
                <w:sz w:val="20"/>
                <w:szCs w:val="20"/>
                <w:lang w:eastAsia="ja-JP"/>
              </w:rPr>
            </w:pPr>
          </w:p>
        </w:tc>
      </w:tr>
    </w:tbl>
    <w:p w:rsidR="00D217FC" w:rsidRPr="00591362" w:rsidRDefault="00D217FC" w:rsidP="00D217FC">
      <w:pPr>
        <w:pStyle w:val="NoSpacing"/>
        <w:rPr>
          <w:sz w:val="20"/>
          <w:szCs w:val="20"/>
        </w:rPr>
      </w:pP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28" w:type="dxa"/>
          <w:bottom w:w="28" w:type="dxa"/>
        </w:tblCellMar>
        <w:tblLook w:val="01E0" w:firstRow="1" w:lastRow="1" w:firstColumn="1" w:lastColumn="1" w:noHBand="0" w:noVBand="0"/>
      </w:tblPr>
      <w:tblGrid>
        <w:gridCol w:w="2164"/>
        <w:gridCol w:w="6832"/>
      </w:tblGrid>
      <w:tr w:rsidR="00D217FC" w:rsidRPr="00591362" w:rsidTr="00EF5E0F">
        <w:trPr>
          <w:cantSplit/>
        </w:trPr>
        <w:tc>
          <w:tcPr>
            <w:tcW w:w="1203" w:type="pct"/>
            <w:shd w:val="clear" w:color="auto" w:fill="C6D9F1"/>
            <w:tcMar>
              <w:top w:w="62" w:type="dxa"/>
              <w:bottom w:w="62" w:type="dxa"/>
            </w:tcMar>
          </w:tcPr>
          <w:p w:rsidR="00D217FC" w:rsidRPr="00591362" w:rsidRDefault="00D217FC" w:rsidP="00EF5E0F">
            <w:pPr>
              <w:pStyle w:val="NoSpacing"/>
              <w:rPr>
                <w:b/>
                <w:sz w:val="20"/>
                <w:szCs w:val="20"/>
              </w:rPr>
            </w:pPr>
            <w:r w:rsidRPr="00591362">
              <w:rPr>
                <w:b/>
                <w:sz w:val="20"/>
                <w:szCs w:val="20"/>
              </w:rPr>
              <w:t>ID</w:t>
            </w:r>
          </w:p>
        </w:tc>
        <w:tc>
          <w:tcPr>
            <w:tcW w:w="3797" w:type="pct"/>
            <w:shd w:val="clear" w:color="auto" w:fill="auto"/>
            <w:tcMar>
              <w:top w:w="62" w:type="dxa"/>
              <w:bottom w:w="62" w:type="dxa"/>
            </w:tcMar>
          </w:tcPr>
          <w:p w:rsidR="00D217FC" w:rsidRPr="00DE6723" w:rsidRDefault="00D217FC" w:rsidP="00EF5E0F">
            <w:pPr>
              <w:pStyle w:val="NoSpacing"/>
              <w:rPr>
                <w:rFonts w:cs="Arial"/>
                <w:b/>
                <w:sz w:val="20"/>
                <w:szCs w:val="20"/>
              </w:rPr>
            </w:pPr>
            <w:r>
              <w:rPr>
                <w:rFonts w:cs="Arial"/>
                <w:b/>
                <w:sz w:val="20"/>
                <w:szCs w:val="20"/>
              </w:rPr>
              <w:t>7</w:t>
            </w:r>
          </w:p>
        </w:tc>
      </w:tr>
      <w:tr w:rsidR="00D217FC" w:rsidRPr="00591362" w:rsidTr="00EF5E0F">
        <w:trPr>
          <w:cantSplit/>
        </w:trPr>
        <w:tc>
          <w:tcPr>
            <w:tcW w:w="1203" w:type="pct"/>
            <w:shd w:val="clear" w:color="auto" w:fill="C6D9F1"/>
            <w:tcMar>
              <w:top w:w="62" w:type="dxa"/>
              <w:bottom w:w="62" w:type="dxa"/>
            </w:tcMar>
          </w:tcPr>
          <w:p w:rsidR="00D217FC" w:rsidRPr="00591362" w:rsidRDefault="00D217FC" w:rsidP="00EF5E0F">
            <w:pPr>
              <w:pStyle w:val="NoSpacing"/>
              <w:rPr>
                <w:b/>
                <w:sz w:val="20"/>
                <w:szCs w:val="20"/>
              </w:rPr>
            </w:pPr>
            <w:r w:rsidRPr="00591362">
              <w:rPr>
                <w:b/>
                <w:sz w:val="20"/>
                <w:szCs w:val="20"/>
              </w:rPr>
              <w:t>Parameter:</w:t>
            </w:r>
          </w:p>
        </w:tc>
        <w:tc>
          <w:tcPr>
            <w:tcW w:w="3797" w:type="pct"/>
            <w:shd w:val="clear" w:color="auto" w:fill="auto"/>
            <w:tcMar>
              <w:top w:w="62" w:type="dxa"/>
              <w:bottom w:w="62" w:type="dxa"/>
            </w:tcMar>
          </w:tcPr>
          <w:p w:rsidR="00D217FC" w:rsidRPr="00B35D02" w:rsidRDefault="00D217FC" w:rsidP="00EF5E0F">
            <w:pPr>
              <w:pStyle w:val="NoSpacing"/>
              <w:rPr>
                <w:rFonts w:cs="Arial"/>
                <w:sz w:val="20"/>
                <w:szCs w:val="20"/>
              </w:rPr>
            </w:pPr>
            <w:r>
              <w:rPr>
                <w:rFonts w:cs="Arial"/>
                <w:sz w:val="20"/>
                <w:szCs w:val="20"/>
              </w:rPr>
              <w:t>MS</w:t>
            </w:r>
            <w:r w:rsidRPr="00D217FC">
              <w:rPr>
                <w:rFonts w:cs="Arial"/>
                <w:sz w:val="20"/>
                <w:szCs w:val="20"/>
                <w:vertAlign w:val="subscript"/>
              </w:rPr>
              <w:t>i</w:t>
            </w:r>
          </w:p>
        </w:tc>
      </w:tr>
      <w:tr w:rsidR="00D217FC" w:rsidRPr="00591362" w:rsidTr="00EF5E0F">
        <w:trPr>
          <w:cantSplit/>
        </w:trPr>
        <w:tc>
          <w:tcPr>
            <w:tcW w:w="1203" w:type="pct"/>
            <w:shd w:val="clear" w:color="auto" w:fill="C6D9F1"/>
          </w:tcPr>
          <w:p w:rsidR="00D217FC" w:rsidRPr="00591362" w:rsidRDefault="00D217FC" w:rsidP="00EF5E0F">
            <w:pPr>
              <w:pStyle w:val="NoSpacing"/>
              <w:rPr>
                <w:b/>
                <w:sz w:val="20"/>
                <w:szCs w:val="20"/>
              </w:rPr>
            </w:pPr>
            <w:r w:rsidRPr="00591362">
              <w:rPr>
                <w:b/>
                <w:sz w:val="20"/>
                <w:szCs w:val="20"/>
              </w:rPr>
              <w:t>Unit:</w:t>
            </w:r>
          </w:p>
        </w:tc>
        <w:tc>
          <w:tcPr>
            <w:tcW w:w="3797" w:type="pct"/>
            <w:shd w:val="clear" w:color="auto" w:fill="auto"/>
          </w:tcPr>
          <w:p w:rsidR="00D217FC" w:rsidRPr="00591362" w:rsidRDefault="00D217FC" w:rsidP="00D217FC">
            <w:pPr>
              <w:pStyle w:val="NoSpacing"/>
              <w:rPr>
                <w:rFonts w:cs="Arial"/>
                <w:sz w:val="20"/>
                <w:szCs w:val="20"/>
              </w:rPr>
            </w:pPr>
            <w:r>
              <w:rPr>
                <w:rFonts w:cs="Arial"/>
                <w:sz w:val="20"/>
                <w:szCs w:val="20"/>
              </w:rPr>
              <w:t>%</w:t>
            </w:r>
          </w:p>
        </w:tc>
      </w:tr>
      <w:tr w:rsidR="00D217FC" w:rsidRPr="00591362" w:rsidTr="00EF5E0F">
        <w:trPr>
          <w:cantSplit/>
        </w:trPr>
        <w:tc>
          <w:tcPr>
            <w:tcW w:w="1203" w:type="pct"/>
            <w:shd w:val="clear" w:color="auto" w:fill="C6D9F1"/>
          </w:tcPr>
          <w:p w:rsidR="00D217FC" w:rsidRPr="00591362" w:rsidRDefault="00D217FC" w:rsidP="00EF5E0F">
            <w:pPr>
              <w:pStyle w:val="NoSpacing"/>
              <w:rPr>
                <w:b/>
                <w:sz w:val="20"/>
                <w:szCs w:val="20"/>
              </w:rPr>
            </w:pPr>
            <w:r w:rsidRPr="00591362">
              <w:rPr>
                <w:b/>
                <w:sz w:val="20"/>
                <w:szCs w:val="20"/>
              </w:rPr>
              <w:t>Description:</w:t>
            </w:r>
          </w:p>
        </w:tc>
        <w:tc>
          <w:tcPr>
            <w:tcW w:w="3797" w:type="pct"/>
            <w:shd w:val="clear" w:color="auto" w:fill="auto"/>
          </w:tcPr>
          <w:p w:rsidR="00D217FC" w:rsidRPr="00591362" w:rsidRDefault="00D217FC" w:rsidP="00EF5E0F">
            <w:pPr>
              <w:pStyle w:val="NoSpacing"/>
              <w:rPr>
                <w:rFonts w:cs="Arial"/>
                <w:sz w:val="20"/>
                <w:szCs w:val="20"/>
              </w:rPr>
            </w:pPr>
            <w:r w:rsidRPr="00D217FC">
              <w:rPr>
                <w:rFonts w:cs="Arial"/>
                <w:sz w:val="20"/>
                <w:szCs w:val="20"/>
              </w:rPr>
              <w:t>Distance weighted mode share of mode i passengers would have used in absence of rail (buses, cars, planes, induced traffic</w:t>
            </w:r>
            <w:r>
              <w:rPr>
                <w:rFonts w:cs="Arial"/>
                <w:sz w:val="20"/>
                <w:szCs w:val="20"/>
              </w:rPr>
              <w:t>)</w:t>
            </w:r>
          </w:p>
        </w:tc>
      </w:tr>
      <w:tr w:rsidR="00D217FC" w:rsidRPr="00591362" w:rsidTr="00EF5E0F">
        <w:trPr>
          <w:cantSplit/>
        </w:trPr>
        <w:tc>
          <w:tcPr>
            <w:tcW w:w="1203" w:type="pct"/>
            <w:shd w:val="clear" w:color="auto" w:fill="C6D9F1"/>
          </w:tcPr>
          <w:p w:rsidR="00D217FC" w:rsidRPr="00591362" w:rsidRDefault="00D217FC" w:rsidP="00EF5E0F">
            <w:pPr>
              <w:pStyle w:val="NoSpacing"/>
              <w:rPr>
                <w:b/>
                <w:sz w:val="20"/>
                <w:szCs w:val="20"/>
              </w:rPr>
            </w:pPr>
            <w:r w:rsidRPr="00591362">
              <w:rPr>
                <w:b/>
                <w:sz w:val="20"/>
                <w:szCs w:val="20"/>
              </w:rPr>
              <w:t>Source of data:</w:t>
            </w:r>
          </w:p>
        </w:tc>
        <w:tc>
          <w:tcPr>
            <w:tcW w:w="3797" w:type="pct"/>
            <w:shd w:val="clear" w:color="auto" w:fill="auto"/>
          </w:tcPr>
          <w:p w:rsidR="00D217FC" w:rsidRPr="00D217FC" w:rsidRDefault="00D217FC" w:rsidP="00D217FC">
            <w:pPr>
              <w:jc w:val="both"/>
              <w:rPr>
                <w:rFonts w:cs="Times New Roman"/>
                <w:sz w:val="20"/>
              </w:rPr>
            </w:pPr>
            <w:r w:rsidRPr="00D217FC">
              <w:rPr>
                <w:sz w:val="20"/>
              </w:rPr>
              <w:t>Specific survey realized of rail passengers</w:t>
            </w:r>
            <w:r w:rsidR="00EF5E0F">
              <w:rPr>
                <w:sz w:val="20"/>
              </w:rPr>
              <w:t>; It is suggested to perform the survey together with other planned surveys of rail passengers e.g. concerning client satisfaction with services to reduce costs.</w:t>
            </w:r>
          </w:p>
        </w:tc>
      </w:tr>
      <w:tr w:rsidR="00D217FC" w:rsidRPr="00591362" w:rsidTr="00EF5E0F">
        <w:trPr>
          <w:cantSplit/>
        </w:trPr>
        <w:tc>
          <w:tcPr>
            <w:tcW w:w="1203" w:type="pct"/>
            <w:shd w:val="clear" w:color="auto" w:fill="C6D9F1"/>
          </w:tcPr>
          <w:p w:rsidR="00D217FC" w:rsidRPr="00591362" w:rsidRDefault="00D217FC" w:rsidP="00EF5E0F">
            <w:pPr>
              <w:pStyle w:val="NoSpacing"/>
              <w:rPr>
                <w:b/>
                <w:sz w:val="20"/>
                <w:szCs w:val="20"/>
              </w:rPr>
            </w:pPr>
            <w:r w:rsidRPr="00591362">
              <w:rPr>
                <w:b/>
                <w:sz w:val="20"/>
                <w:szCs w:val="20"/>
              </w:rPr>
              <w:t>Monitoring method:</w:t>
            </w:r>
          </w:p>
        </w:tc>
        <w:tc>
          <w:tcPr>
            <w:tcW w:w="3797" w:type="pct"/>
            <w:shd w:val="clear" w:color="auto" w:fill="auto"/>
          </w:tcPr>
          <w:p w:rsidR="00D217FC" w:rsidRDefault="00D217FC" w:rsidP="00EF5E0F">
            <w:pPr>
              <w:pStyle w:val="NoSpacing"/>
              <w:rPr>
                <w:rFonts w:cs="Arial"/>
                <w:sz w:val="20"/>
                <w:szCs w:val="20"/>
                <w:lang w:eastAsia="ja-JP"/>
              </w:rPr>
            </w:pPr>
            <w:r>
              <w:rPr>
                <w:rFonts w:cs="Arial"/>
                <w:sz w:val="20"/>
                <w:szCs w:val="20"/>
                <w:lang w:eastAsia="ja-JP"/>
              </w:rPr>
              <w:t>See below</w:t>
            </w:r>
            <w:r w:rsidR="00EF5E0F">
              <w:rPr>
                <w:rFonts w:cs="Arial"/>
                <w:sz w:val="20"/>
                <w:szCs w:val="20"/>
                <w:lang w:eastAsia="ja-JP"/>
              </w:rPr>
              <w:t>.</w:t>
            </w:r>
          </w:p>
          <w:p w:rsidR="00EF5E0F" w:rsidRDefault="00EF5E0F" w:rsidP="00EF5E0F">
            <w:pPr>
              <w:pStyle w:val="NoSpacing"/>
              <w:rPr>
                <w:rFonts w:cs="Arial"/>
                <w:sz w:val="20"/>
                <w:szCs w:val="20"/>
                <w:lang w:eastAsia="ja-JP"/>
              </w:rPr>
            </w:pPr>
          </w:p>
          <w:p w:rsidR="00EF5E0F" w:rsidRPr="00EF5E0F" w:rsidRDefault="00EF5E0F" w:rsidP="00EF5E0F">
            <w:pPr>
              <w:pStyle w:val="NoSpacing"/>
              <w:rPr>
                <w:rFonts w:cs="Arial"/>
                <w:sz w:val="20"/>
                <w:szCs w:val="20"/>
                <w:lang w:eastAsia="ja-JP"/>
              </w:rPr>
            </w:pPr>
            <w:r w:rsidRPr="00EF5E0F">
              <w:rPr>
                <w:rFonts w:cs="Arial"/>
                <w:sz w:val="20"/>
                <w:szCs w:val="20"/>
                <w:lang w:eastAsia="ja-JP"/>
              </w:rPr>
              <w:t>Distance weighting is done using the following steps:</w:t>
            </w:r>
          </w:p>
          <w:p w:rsidR="00EF5E0F" w:rsidRPr="00EF5E0F" w:rsidRDefault="00EF5E0F" w:rsidP="00EF5E0F">
            <w:pPr>
              <w:pStyle w:val="NoSpacing"/>
              <w:numPr>
                <w:ilvl w:val="0"/>
                <w:numId w:val="27"/>
              </w:numPr>
              <w:rPr>
                <w:rFonts w:cs="Arial"/>
                <w:sz w:val="20"/>
                <w:szCs w:val="20"/>
                <w:lang w:eastAsia="ja-JP"/>
              </w:rPr>
            </w:pPr>
            <w:r w:rsidRPr="00EF5E0F">
              <w:rPr>
                <w:rFonts w:cs="Arial"/>
                <w:sz w:val="20"/>
                <w:szCs w:val="20"/>
                <w:lang w:eastAsia="ja-JP"/>
              </w:rPr>
              <w:t>Based on 90% confidence level it is assessed if monitored distances from the survey can be considered as different or not.</w:t>
            </w:r>
          </w:p>
          <w:p w:rsidR="00EF5E0F" w:rsidRPr="00EF5E0F" w:rsidRDefault="00EF5E0F" w:rsidP="00EF5E0F">
            <w:pPr>
              <w:pStyle w:val="NoSpacing"/>
              <w:numPr>
                <w:ilvl w:val="0"/>
                <w:numId w:val="27"/>
              </w:numPr>
              <w:rPr>
                <w:rFonts w:cs="Arial"/>
                <w:sz w:val="20"/>
                <w:szCs w:val="20"/>
                <w:lang w:eastAsia="ja-JP"/>
              </w:rPr>
            </w:pPr>
            <w:r w:rsidRPr="00EF5E0F">
              <w:rPr>
                <w:rFonts w:cs="Arial"/>
                <w:sz w:val="20"/>
                <w:szCs w:val="20"/>
                <w:lang w:eastAsia="ja-JP"/>
              </w:rPr>
              <w:t xml:space="preserve">For distances which have no significant difference the average of the modes with non-significant differences is taken. </w:t>
            </w:r>
          </w:p>
          <w:p w:rsidR="00EF5E0F" w:rsidRPr="00591362" w:rsidRDefault="00EF5E0F" w:rsidP="00EF5E0F">
            <w:pPr>
              <w:pStyle w:val="NoSpacing"/>
              <w:rPr>
                <w:rFonts w:cs="Arial"/>
                <w:sz w:val="20"/>
                <w:szCs w:val="20"/>
                <w:lang w:eastAsia="ja-JP"/>
              </w:rPr>
            </w:pPr>
            <w:r w:rsidRPr="00EF5E0F">
              <w:rPr>
                <w:rFonts w:cs="Arial"/>
                <w:sz w:val="20"/>
                <w:szCs w:val="20"/>
                <w:lang w:eastAsia="ja-JP"/>
              </w:rPr>
              <w:t>The mode share is weighted by distance by multiplying average mode trip number share with average distance per mode divided by average trip distance over all modes</w:t>
            </w:r>
          </w:p>
        </w:tc>
      </w:tr>
      <w:tr w:rsidR="00D217FC" w:rsidRPr="00591362" w:rsidTr="00EF5E0F">
        <w:trPr>
          <w:cantSplit/>
        </w:trPr>
        <w:tc>
          <w:tcPr>
            <w:tcW w:w="1203" w:type="pct"/>
            <w:shd w:val="clear" w:color="auto" w:fill="C6D9F1"/>
          </w:tcPr>
          <w:p w:rsidR="00D217FC" w:rsidRPr="00591362" w:rsidRDefault="00D217FC" w:rsidP="00EF5E0F">
            <w:pPr>
              <w:pStyle w:val="NoSpacing"/>
              <w:rPr>
                <w:b/>
                <w:sz w:val="20"/>
                <w:szCs w:val="20"/>
              </w:rPr>
            </w:pPr>
            <w:r w:rsidRPr="00591362">
              <w:rPr>
                <w:b/>
                <w:sz w:val="20"/>
                <w:szCs w:val="20"/>
              </w:rPr>
              <w:t>Measuring frequency:</w:t>
            </w:r>
          </w:p>
        </w:tc>
        <w:tc>
          <w:tcPr>
            <w:tcW w:w="3797" w:type="pct"/>
            <w:shd w:val="clear" w:color="auto" w:fill="auto"/>
          </w:tcPr>
          <w:p w:rsidR="00D217FC" w:rsidRPr="00591362" w:rsidRDefault="00D217FC" w:rsidP="00EF5E0F">
            <w:pPr>
              <w:pStyle w:val="NoSpacing"/>
              <w:rPr>
                <w:rFonts w:cs="Arial"/>
                <w:sz w:val="20"/>
                <w:szCs w:val="20"/>
              </w:rPr>
            </w:pPr>
            <w:r>
              <w:rPr>
                <w:rFonts w:cs="Arial"/>
                <w:sz w:val="20"/>
                <w:szCs w:val="20"/>
              </w:rPr>
              <w:t>Every 5 years (e.g. 2020, 2025, 2030)</w:t>
            </w:r>
          </w:p>
        </w:tc>
      </w:tr>
      <w:tr w:rsidR="00D217FC" w:rsidRPr="00591362" w:rsidTr="00EF5E0F">
        <w:trPr>
          <w:cantSplit/>
        </w:trPr>
        <w:tc>
          <w:tcPr>
            <w:tcW w:w="1203" w:type="pct"/>
            <w:shd w:val="clear" w:color="auto" w:fill="C6D9F1"/>
          </w:tcPr>
          <w:p w:rsidR="00D217FC" w:rsidRPr="00591362" w:rsidRDefault="00D217FC" w:rsidP="00EF5E0F">
            <w:pPr>
              <w:pStyle w:val="NoSpacing"/>
              <w:rPr>
                <w:b/>
                <w:sz w:val="20"/>
                <w:szCs w:val="20"/>
              </w:rPr>
            </w:pPr>
            <w:r w:rsidRPr="00591362">
              <w:rPr>
                <w:b/>
                <w:sz w:val="20"/>
                <w:szCs w:val="20"/>
              </w:rPr>
              <w:t>QA/QC procedures:</w:t>
            </w:r>
          </w:p>
        </w:tc>
        <w:tc>
          <w:tcPr>
            <w:tcW w:w="3797" w:type="pct"/>
            <w:shd w:val="clear" w:color="auto" w:fill="auto"/>
          </w:tcPr>
          <w:p w:rsidR="00D217FC" w:rsidRPr="00591362" w:rsidRDefault="00D217FC" w:rsidP="00EF5E0F">
            <w:pPr>
              <w:pStyle w:val="NoSpacing"/>
              <w:rPr>
                <w:rFonts w:cs="Arial"/>
                <w:sz w:val="20"/>
                <w:szCs w:val="20"/>
              </w:rPr>
            </w:pPr>
            <w:r>
              <w:rPr>
                <w:rFonts w:cs="Arial"/>
                <w:sz w:val="20"/>
                <w:szCs w:val="20"/>
              </w:rPr>
              <w:t>Comparison with former values</w:t>
            </w:r>
          </w:p>
        </w:tc>
      </w:tr>
      <w:tr w:rsidR="00D217FC" w:rsidRPr="00591362" w:rsidTr="00EF5E0F">
        <w:trPr>
          <w:cantSplit/>
        </w:trPr>
        <w:tc>
          <w:tcPr>
            <w:tcW w:w="1203" w:type="pct"/>
            <w:shd w:val="clear" w:color="auto" w:fill="C6D9F1"/>
          </w:tcPr>
          <w:p w:rsidR="00D217FC" w:rsidRPr="00591362" w:rsidRDefault="00D217FC" w:rsidP="00EF5E0F">
            <w:pPr>
              <w:pStyle w:val="NoSpacing"/>
              <w:rPr>
                <w:b/>
                <w:sz w:val="20"/>
                <w:szCs w:val="20"/>
              </w:rPr>
            </w:pPr>
            <w:r w:rsidRPr="00591362">
              <w:rPr>
                <w:b/>
                <w:sz w:val="20"/>
                <w:szCs w:val="20"/>
              </w:rPr>
              <w:t>Comment:</w:t>
            </w:r>
          </w:p>
        </w:tc>
        <w:tc>
          <w:tcPr>
            <w:tcW w:w="3797" w:type="pct"/>
            <w:shd w:val="clear" w:color="auto" w:fill="auto"/>
          </w:tcPr>
          <w:p w:rsidR="00D217FC" w:rsidRPr="00591362" w:rsidRDefault="00EF5E0F" w:rsidP="00932907">
            <w:pPr>
              <w:pStyle w:val="NoSpacing"/>
              <w:rPr>
                <w:rFonts w:cs="Arial"/>
                <w:sz w:val="20"/>
                <w:szCs w:val="20"/>
                <w:lang w:eastAsia="ja-JP"/>
              </w:rPr>
            </w:pPr>
            <w:r>
              <w:rPr>
                <w:rFonts w:cs="Arial"/>
                <w:sz w:val="20"/>
                <w:szCs w:val="20"/>
                <w:lang w:eastAsia="ja-JP"/>
              </w:rPr>
              <w:t>It is optional to realize or not the survey. If no survey is realized it is assumed that 100% of rail users would have used buses in absence of rail based on the initial survey realized 2016. If BR wants to capture additional emission reductions resultant from passengers using plane or passenger cars instead of rail the survey must be realized. However, this makes only sense if the rail is competitive against planes and passenger cars from a perspective of speed, convenience and comfort. Otherwise it is suggested to not incur in the cost and complexity of a survey and continue with the default value.</w:t>
            </w:r>
          </w:p>
        </w:tc>
      </w:tr>
    </w:tbl>
    <w:p w:rsidR="00B35D02" w:rsidRPr="00B35D02" w:rsidRDefault="00B35D02" w:rsidP="00B35D02"/>
    <w:p w:rsidR="00EF5E0F" w:rsidRPr="00EF5E0F" w:rsidRDefault="000A59F3" w:rsidP="00EF5E0F">
      <w:pPr>
        <w:pStyle w:val="NoSpacing"/>
        <w:rPr>
          <w:b/>
          <w:sz w:val="20"/>
        </w:rPr>
      </w:pPr>
      <w:r>
        <w:rPr>
          <w:b/>
          <w:sz w:val="20"/>
        </w:rPr>
        <w:t>Figure</w:t>
      </w:r>
      <w:r w:rsidR="00EF5E0F" w:rsidRPr="00EF5E0F">
        <w:rPr>
          <w:b/>
          <w:sz w:val="20"/>
        </w:rPr>
        <w:t xml:space="preserve"> </w:t>
      </w:r>
      <w:r>
        <w:rPr>
          <w:b/>
          <w:sz w:val="20"/>
        </w:rPr>
        <w:fldChar w:fldCharType="begin"/>
      </w:r>
      <w:r>
        <w:rPr>
          <w:b/>
          <w:sz w:val="20"/>
        </w:rPr>
        <w:instrText xml:space="preserve"> SEQ Figure \* ARABIC </w:instrText>
      </w:r>
      <w:r>
        <w:rPr>
          <w:b/>
          <w:sz w:val="20"/>
        </w:rPr>
        <w:fldChar w:fldCharType="separate"/>
      </w:r>
      <w:r w:rsidR="00AC6EDE">
        <w:rPr>
          <w:b/>
          <w:noProof/>
          <w:sz w:val="20"/>
        </w:rPr>
        <w:t>16</w:t>
      </w:r>
      <w:r>
        <w:rPr>
          <w:b/>
          <w:sz w:val="20"/>
        </w:rPr>
        <w:fldChar w:fldCharType="end"/>
      </w:r>
      <w:r w:rsidR="00EF5E0F" w:rsidRPr="00EF5E0F">
        <w:rPr>
          <w:b/>
          <w:sz w:val="20"/>
        </w:rPr>
        <w:t>: Main Features of Passenger Survey</w:t>
      </w:r>
    </w:p>
    <w:tbl>
      <w:tblPr>
        <w:tblStyle w:val="TableGrid"/>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789"/>
        <w:gridCol w:w="7207"/>
      </w:tblGrid>
      <w:tr w:rsidR="00EF5E0F" w:rsidRPr="00C63206" w:rsidTr="00EF5E0F">
        <w:tc>
          <w:tcPr>
            <w:tcW w:w="1789" w:type="dxa"/>
            <w:shd w:val="clear" w:color="auto" w:fill="DEEAF6" w:themeFill="accent1" w:themeFillTint="33"/>
          </w:tcPr>
          <w:p w:rsidR="00EF5E0F" w:rsidRPr="00C63206" w:rsidRDefault="00EF5E0F" w:rsidP="00EF5E0F">
            <w:pPr>
              <w:jc w:val="both"/>
              <w:rPr>
                <w:b/>
                <w:sz w:val="20"/>
              </w:rPr>
            </w:pPr>
            <w:r w:rsidRPr="00C63206">
              <w:rPr>
                <w:b/>
                <w:sz w:val="20"/>
              </w:rPr>
              <w:t>Feature</w:t>
            </w:r>
          </w:p>
        </w:tc>
        <w:tc>
          <w:tcPr>
            <w:tcW w:w="7207" w:type="dxa"/>
            <w:shd w:val="clear" w:color="auto" w:fill="DEEAF6" w:themeFill="accent1" w:themeFillTint="33"/>
          </w:tcPr>
          <w:p w:rsidR="00EF5E0F" w:rsidRPr="00C63206" w:rsidRDefault="00EF5E0F" w:rsidP="00EF5E0F">
            <w:pPr>
              <w:jc w:val="both"/>
              <w:rPr>
                <w:b/>
                <w:sz w:val="20"/>
              </w:rPr>
            </w:pPr>
            <w:r w:rsidRPr="00C63206">
              <w:rPr>
                <w:b/>
                <w:sz w:val="20"/>
              </w:rPr>
              <w:t>Details</w:t>
            </w:r>
          </w:p>
        </w:tc>
      </w:tr>
      <w:tr w:rsidR="00EF5E0F" w:rsidRPr="00C63206" w:rsidTr="00EF5E0F">
        <w:tc>
          <w:tcPr>
            <w:tcW w:w="1789" w:type="dxa"/>
          </w:tcPr>
          <w:p w:rsidR="00EF5E0F" w:rsidRPr="00C63206" w:rsidRDefault="00EF5E0F" w:rsidP="00EF5E0F">
            <w:pPr>
              <w:rPr>
                <w:sz w:val="20"/>
              </w:rPr>
            </w:pPr>
            <w:r w:rsidRPr="00C63206">
              <w:rPr>
                <w:sz w:val="20"/>
              </w:rPr>
              <w:t>Survey objective</w:t>
            </w:r>
          </w:p>
        </w:tc>
        <w:tc>
          <w:tcPr>
            <w:tcW w:w="7207" w:type="dxa"/>
          </w:tcPr>
          <w:p w:rsidR="00EF5E0F" w:rsidRPr="00C63206" w:rsidRDefault="00EF5E0F" w:rsidP="00EF5E0F">
            <w:pPr>
              <w:rPr>
                <w:sz w:val="20"/>
              </w:rPr>
            </w:pPr>
            <w:r w:rsidRPr="00C63206">
              <w:rPr>
                <w:sz w:val="20"/>
              </w:rPr>
              <w:t xml:space="preserve">Determine the baseline mode passengers of </w:t>
            </w:r>
            <w:r>
              <w:rPr>
                <w:sz w:val="20"/>
              </w:rPr>
              <w:t xml:space="preserve">inter-urban </w:t>
            </w:r>
            <w:r w:rsidRPr="00C63206">
              <w:rPr>
                <w:sz w:val="20"/>
              </w:rPr>
              <w:t xml:space="preserve">rail would have used and determine the trip length. Latter is used to weight the mode used </w:t>
            </w:r>
          </w:p>
        </w:tc>
      </w:tr>
      <w:tr w:rsidR="00EF5E0F" w:rsidRPr="00C63206" w:rsidTr="00EF5E0F">
        <w:tc>
          <w:tcPr>
            <w:tcW w:w="1789" w:type="dxa"/>
          </w:tcPr>
          <w:p w:rsidR="00EF5E0F" w:rsidRPr="00C63206" w:rsidRDefault="00EF5E0F" w:rsidP="00EF5E0F">
            <w:pPr>
              <w:rPr>
                <w:sz w:val="20"/>
              </w:rPr>
            </w:pPr>
            <w:r w:rsidRPr="00C63206">
              <w:rPr>
                <w:sz w:val="20"/>
              </w:rPr>
              <w:t>Parameter</w:t>
            </w:r>
          </w:p>
        </w:tc>
        <w:tc>
          <w:tcPr>
            <w:tcW w:w="7207" w:type="dxa"/>
          </w:tcPr>
          <w:p w:rsidR="00EF5E0F" w:rsidRPr="00C63206" w:rsidRDefault="00EF5E0F" w:rsidP="00EF5E0F">
            <w:pPr>
              <w:rPr>
                <w:sz w:val="20"/>
              </w:rPr>
            </w:pPr>
            <w:r w:rsidRPr="00C63206">
              <w:rPr>
                <w:sz w:val="20"/>
              </w:rPr>
              <w:t>Main parameter: Mode used in absence of rail</w:t>
            </w:r>
          </w:p>
          <w:p w:rsidR="00EF5E0F" w:rsidRPr="00C63206" w:rsidRDefault="00EF5E0F" w:rsidP="00EF5E0F">
            <w:pPr>
              <w:rPr>
                <w:sz w:val="20"/>
              </w:rPr>
            </w:pPr>
            <w:r w:rsidRPr="00C63206">
              <w:rPr>
                <w:sz w:val="20"/>
              </w:rPr>
              <w:lastRenderedPageBreak/>
              <w:t>Secondary parameter: Distance travelled</w:t>
            </w:r>
            <w:r>
              <w:rPr>
                <w:sz w:val="20"/>
              </w:rPr>
              <w:t xml:space="preserve"> per mode</w:t>
            </w:r>
          </w:p>
        </w:tc>
      </w:tr>
      <w:tr w:rsidR="00EF5E0F" w:rsidRPr="00C63206" w:rsidTr="00EF5E0F">
        <w:tc>
          <w:tcPr>
            <w:tcW w:w="1789" w:type="dxa"/>
          </w:tcPr>
          <w:p w:rsidR="00EF5E0F" w:rsidRPr="00C63206" w:rsidRDefault="00EF5E0F" w:rsidP="00EF5E0F">
            <w:pPr>
              <w:rPr>
                <w:sz w:val="20"/>
              </w:rPr>
            </w:pPr>
            <w:r w:rsidRPr="00C63206">
              <w:rPr>
                <w:sz w:val="20"/>
              </w:rPr>
              <w:lastRenderedPageBreak/>
              <w:t>Target population</w:t>
            </w:r>
          </w:p>
        </w:tc>
        <w:tc>
          <w:tcPr>
            <w:tcW w:w="7207" w:type="dxa"/>
          </w:tcPr>
          <w:p w:rsidR="00EF5E0F" w:rsidRPr="00C63206" w:rsidRDefault="00EF5E0F" w:rsidP="00EF5E0F">
            <w:pPr>
              <w:rPr>
                <w:sz w:val="20"/>
              </w:rPr>
            </w:pPr>
            <w:r w:rsidRPr="00C63206">
              <w:rPr>
                <w:sz w:val="20"/>
              </w:rPr>
              <w:t xml:space="preserve">Passengers over 12 years of age using </w:t>
            </w:r>
            <w:r>
              <w:rPr>
                <w:sz w:val="20"/>
              </w:rPr>
              <w:t>BR for inter-urban trips</w:t>
            </w:r>
            <w:r w:rsidRPr="00C63206">
              <w:rPr>
                <w:sz w:val="20"/>
              </w:rPr>
              <w:t>. Smaller children are excluded due to problems in answering the questions.</w:t>
            </w:r>
          </w:p>
        </w:tc>
      </w:tr>
      <w:tr w:rsidR="00EF5E0F" w:rsidRPr="00C63206" w:rsidTr="00EF5E0F">
        <w:tc>
          <w:tcPr>
            <w:tcW w:w="1789" w:type="dxa"/>
          </w:tcPr>
          <w:p w:rsidR="00EF5E0F" w:rsidRPr="00C63206" w:rsidRDefault="00EF5E0F" w:rsidP="00EF5E0F">
            <w:pPr>
              <w:rPr>
                <w:sz w:val="20"/>
              </w:rPr>
            </w:pPr>
            <w:r w:rsidRPr="00C63206">
              <w:rPr>
                <w:sz w:val="20"/>
              </w:rPr>
              <w:t>Sample frame</w:t>
            </w:r>
          </w:p>
        </w:tc>
        <w:tc>
          <w:tcPr>
            <w:tcW w:w="7207" w:type="dxa"/>
          </w:tcPr>
          <w:p w:rsidR="00EF5E0F" w:rsidRPr="00C63206" w:rsidRDefault="00EF5E0F" w:rsidP="00EF5E0F">
            <w:pPr>
              <w:rPr>
                <w:sz w:val="20"/>
              </w:rPr>
            </w:pPr>
            <w:r w:rsidRPr="00C63206">
              <w:rPr>
                <w:sz w:val="20"/>
              </w:rPr>
              <w:t xml:space="preserve">Based on average passengers transported per day </w:t>
            </w:r>
            <w:r>
              <w:rPr>
                <w:sz w:val="20"/>
              </w:rPr>
              <w:t xml:space="preserve">on inter-urban rail trips </w:t>
            </w:r>
            <w:r w:rsidRPr="00C63206">
              <w:rPr>
                <w:sz w:val="20"/>
              </w:rPr>
              <w:t xml:space="preserve">entire India.  </w:t>
            </w:r>
          </w:p>
        </w:tc>
      </w:tr>
      <w:tr w:rsidR="00EF5E0F" w:rsidRPr="00C63206" w:rsidTr="00EF5E0F">
        <w:tc>
          <w:tcPr>
            <w:tcW w:w="1789" w:type="dxa"/>
          </w:tcPr>
          <w:p w:rsidR="00EF5E0F" w:rsidRPr="00C63206" w:rsidRDefault="00EF5E0F" w:rsidP="00EF5E0F">
            <w:pPr>
              <w:rPr>
                <w:sz w:val="20"/>
              </w:rPr>
            </w:pPr>
            <w:r w:rsidRPr="00C63206">
              <w:rPr>
                <w:sz w:val="20"/>
              </w:rPr>
              <w:t>Relative error level (CV)</w:t>
            </w:r>
          </w:p>
        </w:tc>
        <w:tc>
          <w:tcPr>
            <w:tcW w:w="7207" w:type="dxa"/>
          </w:tcPr>
          <w:p w:rsidR="00EF5E0F" w:rsidRPr="00C63206" w:rsidRDefault="00EF5E0F" w:rsidP="00EF5E0F">
            <w:pPr>
              <w:rPr>
                <w:sz w:val="20"/>
              </w:rPr>
            </w:pPr>
            <w:r w:rsidRPr="00C63206">
              <w:rPr>
                <w:sz w:val="20"/>
              </w:rPr>
              <w:t xml:space="preserve">A global desired level of precision (CV) of 10% for the parameters of interest with a precision level of 90/10 is required. </w:t>
            </w:r>
          </w:p>
        </w:tc>
      </w:tr>
      <w:tr w:rsidR="00EF5E0F" w:rsidRPr="00C63206" w:rsidTr="00EF5E0F">
        <w:tc>
          <w:tcPr>
            <w:tcW w:w="1789" w:type="dxa"/>
          </w:tcPr>
          <w:p w:rsidR="00EF5E0F" w:rsidRPr="00C63206" w:rsidRDefault="00EF5E0F" w:rsidP="00EF5E0F">
            <w:pPr>
              <w:rPr>
                <w:sz w:val="20"/>
              </w:rPr>
            </w:pPr>
            <w:r w:rsidRPr="00C63206">
              <w:rPr>
                <w:sz w:val="20"/>
              </w:rPr>
              <w:t>Coverage</w:t>
            </w:r>
          </w:p>
        </w:tc>
        <w:tc>
          <w:tcPr>
            <w:tcW w:w="7207" w:type="dxa"/>
          </w:tcPr>
          <w:p w:rsidR="00EF5E0F" w:rsidRPr="00C63206" w:rsidRDefault="00EF5E0F" w:rsidP="00EF5E0F">
            <w:pPr>
              <w:rPr>
                <w:sz w:val="20"/>
              </w:rPr>
            </w:pPr>
            <w:r>
              <w:rPr>
                <w:sz w:val="20"/>
              </w:rPr>
              <w:t>Bangladesh</w:t>
            </w:r>
            <w:r w:rsidRPr="00C63206">
              <w:rPr>
                <w:sz w:val="20"/>
              </w:rPr>
              <w:t xml:space="preserve">: national trips of IR all over </w:t>
            </w:r>
            <w:r>
              <w:rPr>
                <w:sz w:val="20"/>
              </w:rPr>
              <w:t>Bangladesh</w:t>
            </w:r>
          </w:p>
        </w:tc>
      </w:tr>
      <w:tr w:rsidR="00EF5E0F" w:rsidRPr="00C63206" w:rsidTr="00EF5E0F">
        <w:tc>
          <w:tcPr>
            <w:tcW w:w="1789" w:type="dxa"/>
          </w:tcPr>
          <w:p w:rsidR="00EF5E0F" w:rsidRPr="00C63206" w:rsidRDefault="00EF5E0F" w:rsidP="00EF5E0F">
            <w:pPr>
              <w:rPr>
                <w:sz w:val="20"/>
              </w:rPr>
            </w:pPr>
            <w:r w:rsidRPr="00C63206">
              <w:rPr>
                <w:sz w:val="20"/>
              </w:rPr>
              <w:t>Size of Universe</w:t>
            </w:r>
          </w:p>
        </w:tc>
        <w:tc>
          <w:tcPr>
            <w:tcW w:w="7207" w:type="dxa"/>
          </w:tcPr>
          <w:p w:rsidR="00EF5E0F" w:rsidRPr="00C63206" w:rsidRDefault="00EF5E0F" w:rsidP="00EF5E0F">
            <w:pPr>
              <w:rPr>
                <w:sz w:val="20"/>
              </w:rPr>
            </w:pPr>
            <w:r w:rsidRPr="00C63206">
              <w:rPr>
                <w:sz w:val="20"/>
              </w:rPr>
              <w:t>Generally</w:t>
            </w:r>
            <w:r w:rsidR="00932907">
              <w:rPr>
                <w:sz w:val="20"/>
              </w:rPr>
              <w:t>,</w:t>
            </w:r>
            <w:r w:rsidRPr="00C63206">
              <w:rPr>
                <w:sz w:val="20"/>
              </w:rPr>
              <w:t xml:space="preserve"> in one </w:t>
            </w:r>
            <w:r>
              <w:rPr>
                <w:sz w:val="20"/>
              </w:rPr>
              <w:t>day</w:t>
            </w:r>
            <w:r w:rsidR="00932907">
              <w:rPr>
                <w:sz w:val="20"/>
              </w:rPr>
              <w:t>,</w:t>
            </w:r>
            <w:r>
              <w:rPr>
                <w:sz w:val="20"/>
              </w:rPr>
              <w:t xml:space="preserve"> B</w:t>
            </w:r>
            <w:r w:rsidRPr="00C63206">
              <w:rPr>
                <w:sz w:val="20"/>
              </w:rPr>
              <w:t>R mob</w:t>
            </w:r>
            <w:r>
              <w:rPr>
                <w:sz w:val="20"/>
              </w:rPr>
              <w:t xml:space="preserve">ilizes around 180,000 </w:t>
            </w:r>
            <w:r w:rsidRPr="00C63206">
              <w:rPr>
                <w:sz w:val="20"/>
              </w:rPr>
              <w:t>passengers per day</w:t>
            </w:r>
          </w:p>
        </w:tc>
      </w:tr>
      <w:tr w:rsidR="00EF5E0F" w:rsidRPr="00C63206" w:rsidTr="00EF5E0F">
        <w:tc>
          <w:tcPr>
            <w:tcW w:w="1789" w:type="dxa"/>
          </w:tcPr>
          <w:p w:rsidR="00EF5E0F" w:rsidRPr="00C63206" w:rsidRDefault="00EF5E0F" w:rsidP="00EF5E0F">
            <w:pPr>
              <w:rPr>
                <w:sz w:val="20"/>
              </w:rPr>
            </w:pPr>
            <w:r w:rsidRPr="00C63206">
              <w:rPr>
                <w:sz w:val="20"/>
              </w:rPr>
              <w:t>Sample size</w:t>
            </w:r>
          </w:p>
        </w:tc>
        <w:tc>
          <w:tcPr>
            <w:tcW w:w="7207" w:type="dxa"/>
          </w:tcPr>
          <w:p w:rsidR="00EF5E0F" w:rsidRPr="00C63206" w:rsidRDefault="00EF5E0F" w:rsidP="00EF5E0F">
            <w:pPr>
              <w:rPr>
                <w:sz w:val="20"/>
              </w:rPr>
            </w:pPr>
            <w:r>
              <w:rPr>
                <w:sz w:val="20"/>
              </w:rPr>
              <w:t>Estimated at 3,000 completed surveys</w:t>
            </w:r>
          </w:p>
        </w:tc>
      </w:tr>
      <w:tr w:rsidR="00EF5E0F" w:rsidRPr="00C63206" w:rsidTr="00EF5E0F">
        <w:tc>
          <w:tcPr>
            <w:tcW w:w="1789" w:type="dxa"/>
          </w:tcPr>
          <w:p w:rsidR="00EF5E0F" w:rsidRPr="00C63206" w:rsidRDefault="00EF5E0F" w:rsidP="00EF5E0F">
            <w:pPr>
              <w:rPr>
                <w:sz w:val="20"/>
              </w:rPr>
            </w:pPr>
            <w:r w:rsidRPr="00C63206">
              <w:rPr>
                <w:sz w:val="20"/>
              </w:rPr>
              <w:t>Sample frequency</w:t>
            </w:r>
          </w:p>
        </w:tc>
        <w:tc>
          <w:tcPr>
            <w:tcW w:w="7207" w:type="dxa"/>
          </w:tcPr>
          <w:p w:rsidR="00EF5E0F" w:rsidRPr="00C63206" w:rsidRDefault="00EF5E0F" w:rsidP="00EF5E0F">
            <w:pPr>
              <w:rPr>
                <w:sz w:val="20"/>
              </w:rPr>
            </w:pPr>
            <w:r w:rsidRPr="00C63206">
              <w:rPr>
                <w:sz w:val="20"/>
              </w:rPr>
              <w:t>Every 5 years. No seasonality is expected</w:t>
            </w:r>
            <w:r>
              <w:rPr>
                <w:rStyle w:val="FootnoteReference"/>
                <w:sz w:val="20"/>
              </w:rPr>
              <w:footnoteReference w:id="67"/>
            </w:r>
            <w:r w:rsidRPr="00C63206">
              <w:rPr>
                <w:sz w:val="20"/>
              </w:rPr>
              <w:t>.</w:t>
            </w:r>
          </w:p>
        </w:tc>
      </w:tr>
      <w:tr w:rsidR="00EF5E0F" w:rsidRPr="00C63206" w:rsidTr="00EF5E0F">
        <w:tc>
          <w:tcPr>
            <w:tcW w:w="1789" w:type="dxa"/>
          </w:tcPr>
          <w:p w:rsidR="00EF5E0F" w:rsidRPr="00C63206" w:rsidRDefault="00EF5E0F" w:rsidP="00EF5E0F">
            <w:pPr>
              <w:rPr>
                <w:sz w:val="20"/>
              </w:rPr>
            </w:pPr>
            <w:r w:rsidRPr="00C63206">
              <w:rPr>
                <w:sz w:val="20"/>
              </w:rPr>
              <w:t>Method of information collection</w:t>
            </w:r>
          </w:p>
        </w:tc>
        <w:tc>
          <w:tcPr>
            <w:tcW w:w="7207" w:type="dxa"/>
          </w:tcPr>
          <w:p w:rsidR="00EF5E0F" w:rsidRDefault="00EF5E0F" w:rsidP="00EF5E0F">
            <w:pPr>
              <w:rPr>
                <w:bCs/>
                <w:sz w:val="20"/>
              </w:rPr>
            </w:pPr>
            <w:r>
              <w:rPr>
                <w:bCs/>
                <w:sz w:val="20"/>
              </w:rPr>
              <w:t>Basically two options exist:</w:t>
            </w:r>
          </w:p>
          <w:p w:rsidR="00EF5E0F" w:rsidRDefault="00EF5E0F" w:rsidP="00EF5E0F">
            <w:pPr>
              <w:rPr>
                <w:sz w:val="20"/>
              </w:rPr>
            </w:pPr>
            <w:r>
              <w:rPr>
                <w:bCs/>
                <w:sz w:val="20"/>
              </w:rPr>
              <w:t xml:space="preserve">1. Face-to-face surveys conducted e.g. a railway stations surveying passengers. Railway stations as well as passengers questioned need to be randomized. </w:t>
            </w:r>
            <w:r w:rsidRPr="00C63206">
              <w:rPr>
                <w:sz w:val="20"/>
              </w:rPr>
              <w:t>The random distribution allows that the sample mirrors the total population in any other non-observed variables such as age, gender, religion, personal preferences etc.</w:t>
            </w:r>
            <w:r>
              <w:rPr>
                <w:sz w:val="20"/>
              </w:rPr>
              <w:t xml:space="preserve"> </w:t>
            </w:r>
          </w:p>
          <w:p w:rsidR="00EF5E0F" w:rsidRPr="00D12BE4" w:rsidRDefault="00EF5E0F" w:rsidP="00EF5E0F">
            <w:pPr>
              <w:rPr>
                <w:sz w:val="20"/>
              </w:rPr>
            </w:pPr>
            <w:r>
              <w:rPr>
                <w:sz w:val="20"/>
              </w:rPr>
              <w:t>2. Phone based interviews nationwide asking persons which have recently used railways for inter-urban trips.</w:t>
            </w:r>
            <w:r w:rsidRPr="00C63206">
              <w:rPr>
                <w:sz w:val="20"/>
              </w:rPr>
              <w:t xml:space="preserve"> </w:t>
            </w:r>
            <w:r>
              <w:rPr>
                <w:sz w:val="20"/>
              </w:rPr>
              <w:t xml:space="preserve"> This approach also allows for randomization and has potentially lower costs due to the large number of railway stations entailing high travel and collection costs of face-to-face surveys.</w:t>
            </w:r>
          </w:p>
        </w:tc>
      </w:tr>
      <w:tr w:rsidR="00EF5E0F" w:rsidRPr="00C63206" w:rsidTr="00EF5E0F">
        <w:tc>
          <w:tcPr>
            <w:tcW w:w="1789" w:type="dxa"/>
          </w:tcPr>
          <w:p w:rsidR="00EF5E0F" w:rsidRPr="00C63206" w:rsidRDefault="00EF5E0F" w:rsidP="00EF5E0F">
            <w:pPr>
              <w:rPr>
                <w:sz w:val="20"/>
              </w:rPr>
            </w:pPr>
            <w:r w:rsidRPr="00C63206">
              <w:rPr>
                <w:sz w:val="20"/>
              </w:rPr>
              <w:t>Trip distance calculation</w:t>
            </w:r>
          </w:p>
        </w:tc>
        <w:tc>
          <w:tcPr>
            <w:tcW w:w="7207" w:type="dxa"/>
          </w:tcPr>
          <w:p w:rsidR="00EF5E0F" w:rsidRPr="00C63206" w:rsidRDefault="00EF5E0F" w:rsidP="00EF5E0F">
            <w:pPr>
              <w:rPr>
                <w:bCs/>
                <w:sz w:val="20"/>
              </w:rPr>
            </w:pPr>
            <w:r w:rsidRPr="00C63206">
              <w:rPr>
                <w:bCs/>
                <w:sz w:val="20"/>
              </w:rPr>
              <w:t>Based on entry-exit station of the passenger.</w:t>
            </w:r>
            <w:r>
              <w:rPr>
                <w:bCs/>
                <w:sz w:val="20"/>
              </w:rPr>
              <w:t xml:space="preserve"> For road modes based on road maps and for plane based on ICAO distance calculator.</w:t>
            </w:r>
          </w:p>
        </w:tc>
      </w:tr>
    </w:tbl>
    <w:p w:rsidR="00EF5E0F" w:rsidRPr="00C63206" w:rsidRDefault="00EF5E0F" w:rsidP="00EF5E0F">
      <w:pPr>
        <w:pStyle w:val="NoSpacing"/>
        <w:rPr>
          <w:sz w:val="20"/>
        </w:rPr>
      </w:pPr>
      <w:r>
        <w:rPr>
          <w:sz w:val="20"/>
        </w:rPr>
        <w:t>Source: Grütter Consulting</w:t>
      </w:r>
    </w:p>
    <w:p w:rsidR="00EF5E0F" w:rsidRPr="006339F0" w:rsidRDefault="00EF5E0F" w:rsidP="00EF5E0F">
      <w:pPr>
        <w:pStyle w:val="NoSpacing"/>
      </w:pPr>
    </w:p>
    <w:p w:rsidR="00EF5E0F" w:rsidRDefault="00EF5E0F" w:rsidP="00EF5E0F">
      <w:pPr>
        <w:pStyle w:val="Heading2"/>
      </w:pPr>
      <w:bookmarkStart w:id="56" w:name="_Toc466207382"/>
      <w:r>
        <w:t>A2.4. Default and Literature Based Parameters</w:t>
      </w:r>
      <w:bookmarkEnd w:id="56"/>
    </w:p>
    <w:p w:rsidR="00EF5E0F" w:rsidRPr="00081A01" w:rsidRDefault="00EF5E0F" w:rsidP="00EF5E0F">
      <w:pPr>
        <w:pStyle w:val="NoSpacing"/>
      </w:pP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28" w:type="dxa"/>
          <w:bottom w:w="28" w:type="dxa"/>
        </w:tblCellMar>
        <w:tblLook w:val="01E0" w:firstRow="1" w:lastRow="1" w:firstColumn="1" w:lastColumn="1" w:noHBand="0" w:noVBand="0"/>
      </w:tblPr>
      <w:tblGrid>
        <w:gridCol w:w="2164"/>
        <w:gridCol w:w="6832"/>
      </w:tblGrid>
      <w:tr w:rsidR="00EF5E0F" w:rsidRPr="00591362" w:rsidTr="00EF5E0F">
        <w:trPr>
          <w:cantSplit/>
        </w:trPr>
        <w:tc>
          <w:tcPr>
            <w:tcW w:w="1203" w:type="pct"/>
            <w:shd w:val="clear" w:color="auto" w:fill="C6D9F1"/>
            <w:tcMar>
              <w:top w:w="62" w:type="dxa"/>
              <w:bottom w:w="62" w:type="dxa"/>
            </w:tcMar>
          </w:tcPr>
          <w:p w:rsidR="00EF5E0F" w:rsidRPr="00DE6723" w:rsidRDefault="00EF5E0F" w:rsidP="00EF5E0F">
            <w:pPr>
              <w:pStyle w:val="NoSpacing"/>
              <w:rPr>
                <w:b/>
                <w:sz w:val="20"/>
                <w:szCs w:val="20"/>
              </w:rPr>
            </w:pPr>
            <w:r w:rsidRPr="00DE6723">
              <w:rPr>
                <w:b/>
                <w:sz w:val="20"/>
                <w:szCs w:val="20"/>
              </w:rPr>
              <w:t>ID</w:t>
            </w:r>
          </w:p>
        </w:tc>
        <w:tc>
          <w:tcPr>
            <w:tcW w:w="3797" w:type="pct"/>
            <w:shd w:val="clear" w:color="auto" w:fill="auto"/>
            <w:tcMar>
              <w:top w:w="62" w:type="dxa"/>
              <w:bottom w:w="62" w:type="dxa"/>
            </w:tcMar>
          </w:tcPr>
          <w:p w:rsidR="00EF5E0F" w:rsidRPr="00DE6723" w:rsidRDefault="00EF5E0F" w:rsidP="00EF5E0F">
            <w:pPr>
              <w:pStyle w:val="NoSpacing"/>
              <w:rPr>
                <w:b/>
                <w:sz w:val="20"/>
                <w:szCs w:val="20"/>
              </w:rPr>
            </w:pPr>
            <w:r>
              <w:rPr>
                <w:b/>
                <w:sz w:val="20"/>
                <w:szCs w:val="20"/>
              </w:rPr>
              <w:t>8</w:t>
            </w:r>
          </w:p>
        </w:tc>
      </w:tr>
      <w:tr w:rsidR="00EF5E0F" w:rsidRPr="00591362" w:rsidTr="00EF5E0F">
        <w:trPr>
          <w:cantSplit/>
        </w:trPr>
        <w:tc>
          <w:tcPr>
            <w:tcW w:w="1203" w:type="pct"/>
            <w:shd w:val="clear" w:color="auto" w:fill="C6D9F1"/>
            <w:tcMar>
              <w:top w:w="62" w:type="dxa"/>
              <w:bottom w:w="62" w:type="dxa"/>
            </w:tcMar>
          </w:tcPr>
          <w:p w:rsidR="00EF5E0F" w:rsidRPr="00591362" w:rsidRDefault="00EF5E0F" w:rsidP="00EF5E0F">
            <w:pPr>
              <w:pStyle w:val="NoSpacing"/>
              <w:rPr>
                <w:b/>
                <w:sz w:val="20"/>
                <w:szCs w:val="20"/>
              </w:rPr>
            </w:pPr>
            <w:r w:rsidRPr="00591362">
              <w:rPr>
                <w:b/>
                <w:sz w:val="20"/>
                <w:szCs w:val="20"/>
              </w:rPr>
              <w:t>Parameter:</w:t>
            </w:r>
          </w:p>
        </w:tc>
        <w:tc>
          <w:tcPr>
            <w:tcW w:w="3797" w:type="pct"/>
            <w:shd w:val="clear" w:color="auto" w:fill="auto"/>
            <w:tcMar>
              <w:top w:w="62" w:type="dxa"/>
              <w:bottom w:w="62" w:type="dxa"/>
            </w:tcMar>
          </w:tcPr>
          <w:p w:rsidR="00EF5E0F" w:rsidRPr="00591362" w:rsidRDefault="00EF5E0F" w:rsidP="00EF5E0F">
            <w:pPr>
              <w:pStyle w:val="NoSpacing"/>
              <w:rPr>
                <w:sz w:val="20"/>
                <w:szCs w:val="20"/>
              </w:rPr>
            </w:pPr>
            <w:r w:rsidRPr="00591362">
              <w:rPr>
                <w:sz w:val="20"/>
                <w:szCs w:val="20"/>
              </w:rPr>
              <w:t>NCV</w:t>
            </w:r>
          </w:p>
        </w:tc>
      </w:tr>
      <w:tr w:rsidR="00EF5E0F" w:rsidRPr="00591362" w:rsidTr="00EF5E0F">
        <w:trPr>
          <w:cantSplit/>
        </w:trPr>
        <w:tc>
          <w:tcPr>
            <w:tcW w:w="1203" w:type="pct"/>
            <w:shd w:val="clear" w:color="auto" w:fill="C6D9F1"/>
          </w:tcPr>
          <w:p w:rsidR="00EF5E0F" w:rsidRPr="00591362" w:rsidRDefault="00EF5E0F" w:rsidP="00EF5E0F">
            <w:pPr>
              <w:pStyle w:val="NoSpacing"/>
              <w:rPr>
                <w:b/>
                <w:sz w:val="20"/>
                <w:szCs w:val="20"/>
              </w:rPr>
            </w:pPr>
            <w:r w:rsidRPr="00591362">
              <w:rPr>
                <w:b/>
                <w:sz w:val="20"/>
                <w:szCs w:val="20"/>
              </w:rPr>
              <w:t>Unit:</w:t>
            </w:r>
          </w:p>
        </w:tc>
        <w:tc>
          <w:tcPr>
            <w:tcW w:w="3797" w:type="pct"/>
            <w:shd w:val="clear" w:color="auto" w:fill="auto"/>
          </w:tcPr>
          <w:p w:rsidR="00EF5E0F" w:rsidRPr="00591362" w:rsidRDefault="00EF5E0F" w:rsidP="00EF5E0F">
            <w:pPr>
              <w:pStyle w:val="NoSpacing"/>
              <w:rPr>
                <w:sz w:val="20"/>
                <w:szCs w:val="20"/>
                <w:lang w:val="it-CH"/>
              </w:rPr>
            </w:pPr>
            <w:r w:rsidRPr="00591362">
              <w:rPr>
                <w:sz w:val="20"/>
                <w:szCs w:val="20"/>
                <w:lang w:val="it-CH"/>
              </w:rPr>
              <w:t>MJ/kg</w:t>
            </w:r>
          </w:p>
        </w:tc>
      </w:tr>
      <w:tr w:rsidR="00EF5E0F" w:rsidRPr="00591362" w:rsidTr="00EF5E0F">
        <w:trPr>
          <w:cantSplit/>
        </w:trPr>
        <w:tc>
          <w:tcPr>
            <w:tcW w:w="1203" w:type="pct"/>
            <w:shd w:val="clear" w:color="auto" w:fill="C6D9F1"/>
          </w:tcPr>
          <w:p w:rsidR="00EF5E0F" w:rsidRPr="00591362" w:rsidRDefault="00EF5E0F" w:rsidP="00EF5E0F">
            <w:pPr>
              <w:pStyle w:val="NoSpacing"/>
              <w:rPr>
                <w:b/>
                <w:sz w:val="20"/>
                <w:szCs w:val="20"/>
              </w:rPr>
            </w:pPr>
            <w:r w:rsidRPr="00591362">
              <w:rPr>
                <w:b/>
                <w:sz w:val="20"/>
                <w:szCs w:val="20"/>
              </w:rPr>
              <w:t>Description:</w:t>
            </w:r>
          </w:p>
        </w:tc>
        <w:tc>
          <w:tcPr>
            <w:tcW w:w="3797" w:type="pct"/>
            <w:shd w:val="clear" w:color="auto" w:fill="auto"/>
          </w:tcPr>
          <w:p w:rsidR="00EF5E0F" w:rsidRPr="00591362" w:rsidRDefault="00EF5E0F" w:rsidP="00DD5471">
            <w:pPr>
              <w:pStyle w:val="NoSpacing"/>
              <w:rPr>
                <w:sz w:val="20"/>
                <w:szCs w:val="20"/>
              </w:rPr>
            </w:pPr>
            <w:r w:rsidRPr="00591362">
              <w:rPr>
                <w:sz w:val="20"/>
                <w:szCs w:val="20"/>
              </w:rPr>
              <w:t xml:space="preserve">Net Calorific Value of diesel </w:t>
            </w:r>
          </w:p>
        </w:tc>
      </w:tr>
      <w:tr w:rsidR="00EF5E0F" w:rsidRPr="00591362" w:rsidTr="00EF5E0F">
        <w:trPr>
          <w:cantSplit/>
        </w:trPr>
        <w:tc>
          <w:tcPr>
            <w:tcW w:w="1203" w:type="pct"/>
            <w:shd w:val="clear" w:color="auto" w:fill="C6D9F1"/>
          </w:tcPr>
          <w:p w:rsidR="00EF5E0F" w:rsidRPr="00591362" w:rsidRDefault="00EF5E0F" w:rsidP="00EF5E0F">
            <w:pPr>
              <w:pStyle w:val="NoSpacing"/>
              <w:rPr>
                <w:b/>
                <w:sz w:val="20"/>
                <w:szCs w:val="20"/>
              </w:rPr>
            </w:pPr>
            <w:r w:rsidRPr="00591362">
              <w:rPr>
                <w:b/>
                <w:sz w:val="20"/>
                <w:szCs w:val="20"/>
              </w:rPr>
              <w:t>Source of data:</w:t>
            </w:r>
          </w:p>
        </w:tc>
        <w:tc>
          <w:tcPr>
            <w:tcW w:w="3797" w:type="pct"/>
            <w:shd w:val="clear" w:color="auto" w:fill="auto"/>
          </w:tcPr>
          <w:p w:rsidR="00EF5E0F" w:rsidRPr="00591362" w:rsidRDefault="00EF5E0F" w:rsidP="00EF5E0F">
            <w:pPr>
              <w:pStyle w:val="NoSpacing"/>
              <w:rPr>
                <w:sz w:val="20"/>
                <w:szCs w:val="20"/>
              </w:rPr>
            </w:pPr>
            <w:r w:rsidRPr="00591362">
              <w:rPr>
                <w:sz w:val="20"/>
                <w:szCs w:val="20"/>
              </w:rPr>
              <w:t>IPCC Guidelines for National GHG Inventories, 2006, table 1.2</w:t>
            </w:r>
          </w:p>
        </w:tc>
      </w:tr>
      <w:tr w:rsidR="00EF5E0F" w:rsidRPr="00591362" w:rsidTr="00EF5E0F">
        <w:trPr>
          <w:cantSplit/>
        </w:trPr>
        <w:tc>
          <w:tcPr>
            <w:tcW w:w="1203" w:type="pct"/>
            <w:shd w:val="clear" w:color="auto" w:fill="C6D9F1"/>
          </w:tcPr>
          <w:p w:rsidR="00EF5E0F" w:rsidRPr="00591362" w:rsidRDefault="00EF5E0F" w:rsidP="00EF5E0F">
            <w:pPr>
              <w:pStyle w:val="NoSpacing"/>
              <w:rPr>
                <w:b/>
                <w:sz w:val="20"/>
                <w:szCs w:val="20"/>
              </w:rPr>
            </w:pPr>
            <w:r w:rsidRPr="00591362">
              <w:rPr>
                <w:b/>
                <w:sz w:val="20"/>
                <w:szCs w:val="20"/>
              </w:rPr>
              <w:t>Value(s) applied:</w:t>
            </w:r>
          </w:p>
        </w:tc>
        <w:tc>
          <w:tcPr>
            <w:tcW w:w="3797" w:type="pct"/>
            <w:shd w:val="clear" w:color="auto" w:fill="auto"/>
          </w:tcPr>
          <w:p w:rsidR="00EF5E0F" w:rsidRPr="00591362" w:rsidRDefault="00DD5471" w:rsidP="00EF5E0F">
            <w:pPr>
              <w:pStyle w:val="NoSpacing"/>
              <w:rPr>
                <w:sz w:val="20"/>
                <w:szCs w:val="20"/>
                <w:lang w:val="en-SG"/>
              </w:rPr>
            </w:pPr>
            <w:r>
              <w:rPr>
                <w:sz w:val="20"/>
                <w:szCs w:val="20"/>
                <w:lang w:val="en-SG"/>
              </w:rPr>
              <w:t>43.0</w:t>
            </w:r>
          </w:p>
        </w:tc>
      </w:tr>
      <w:tr w:rsidR="00EF5E0F" w:rsidRPr="00591362" w:rsidTr="00EF5E0F">
        <w:trPr>
          <w:cantSplit/>
        </w:trPr>
        <w:tc>
          <w:tcPr>
            <w:tcW w:w="1203" w:type="pct"/>
            <w:shd w:val="clear" w:color="auto" w:fill="C6D9F1"/>
          </w:tcPr>
          <w:p w:rsidR="00EF5E0F" w:rsidRPr="00591362" w:rsidRDefault="00EF5E0F" w:rsidP="00EF5E0F">
            <w:pPr>
              <w:pStyle w:val="NoSpacing"/>
              <w:rPr>
                <w:b/>
                <w:sz w:val="20"/>
                <w:szCs w:val="20"/>
              </w:rPr>
            </w:pPr>
            <w:r w:rsidRPr="00591362">
              <w:rPr>
                <w:b/>
                <w:sz w:val="20"/>
                <w:szCs w:val="20"/>
              </w:rPr>
              <w:t>Comment:</w:t>
            </w:r>
          </w:p>
        </w:tc>
        <w:tc>
          <w:tcPr>
            <w:tcW w:w="3797" w:type="pct"/>
            <w:shd w:val="clear" w:color="auto" w:fill="auto"/>
          </w:tcPr>
          <w:p w:rsidR="00EF5E0F" w:rsidRPr="00591362" w:rsidRDefault="00EF5E0F" w:rsidP="00EF5E0F">
            <w:pPr>
              <w:pStyle w:val="NoSpacing"/>
              <w:rPr>
                <w:sz w:val="20"/>
                <w:szCs w:val="20"/>
              </w:rPr>
            </w:pPr>
            <w:r w:rsidRPr="00591362">
              <w:rPr>
                <w:sz w:val="20"/>
                <w:szCs w:val="20"/>
              </w:rPr>
              <w:t>Average value taken as reported by IPCC</w:t>
            </w:r>
          </w:p>
        </w:tc>
      </w:tr>
    </w:tbl>
    <w:p w:rsidR="00EF5E0F" w:rsidRPr="00591362" w:rsidRDefault="00EF5E0F" w:rsidP="00EF5E0F">
      <w:pPr>
        <w:pStyle w:val="NoSpacing"/>
        <w:rPr>
          <w:sz w:val="20"/>
          <w:szCs w:val="20"/>
        </w:rPr>
      </w:pP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28" w:type="dxa"/>
          <w:bottom w:w="28" w:type="dxa"/>
        </w:tblCellMar>
        <w:tblLook w:val="01E0" w:firstRow="1" w:lastRow="1" w:firstColumn="1" w:lastColumn="1" w:noHBand="0" w:noVBand="0"/>
      </w:tblPr>
      <w:tblGrid>
        <w:gridCol w:w="2164"/>
        <w:gridCol w:w="6832"/>
      </w:tblGrid>
      <w:tr w:rsidR="00EF5E0F" w:rsidRPr="00591362" w:rsidTr="00EF5E0F">
        <w:trPr>
          <w:cantSplit/>
        </w:trPr>
        <w:tc>
          <w:tcPr>
            <w:tcW w:w="1203" w:type="pct"/>
            <w:shd w:val="clear" w:color="auto" w:fill="C6D9F1"/>
            <w:tcMar>
              <w:top w:w="62" w:type="dxa"/>
              <w:bottom w:w="62" w:type="dxa"/>
            </w:tcMar>
          </w:tcPr>
          <w:p w:rsidR="00EF5E0F" w:rsidRPr="00591362" w:rsidRDefault="00EF5E0F" w:rsidP="00EF5E0F">
            <w:pPr>
              <w:pStyle w:val="NoSpacing"/>
              <w:rPr>
                <w:b/>
                <w:sz w:val="20"/>
                <w:szCs w:val="20"/>
              </w:rPr>
            </w:pPr>
            <w:r w:rsidRPr="00591362">
              <w:rPr>
                <w:b/>
                <w:sz w:val="20"/>
                <w:szCs w:val="20"/>
              </w:rPr>
              <w:t>ID</w:t>
            </w:r>
          </w:p>
        </w:tc>
        <w:tc>
          <w:tcPr>
            <w:tcW w:w="3797" w:type="pct"/>
            <w:shd w:val="clear" w:color="auto" w:fill="auto"/>
            <w:tcMar>
              <w:top w:w="62" w:type="dxa"/>
              <w:bottom w:w="62" w:type="dxa"/>
            </w:tcMar>
          </w:tcPr>
          <w:p w:rsidR="00EF5E0F" w:rsidRPr="00DE6723" w:rsidRDefault="00DD5471" w:rsidP="00EF5E0F">
            <w:pPr>
              <w:pStyle w:val="NoSpacing"/>
              <w:rPr>
                <w:b/>
                <w:sz w:val="20"/>
                <w:szCs w:val="20"/>
              </w:rPr>
            </w:pPr>
            <w:r>
              <w:rPr>
                <w:b/>
                <w:sz w:val="20"/>
                <w:szCs w:val="20"/>
              </w:rPr>
              <w:t>9</w:t>
            </w:r>
          </w:p>
        </w:tc>
      </w:tr>
      <w:tr w:rsidR="00EF5E0F" w:rsidRPr="00591362" w:rsidTr="00EF5E0F">
        <w:trPr>
          <w:cantSplit/>
        </w:trPr>
        <w:tc>
          <w:tcPr>
            <w:tcW w:w="1203" w:type="pct"/>
            <w:shd w:val="clear" w:color="auto" w:fill="C6D9F1"/>
            <w:tcMar>
              <w:top w:w="62" w:type="dxa"/>
              <w:bottom w:w="62" w:type="dxa"/>
            </w:tcMar>
          </w:tcPr>
          <w:p w:rsidR="00EF5E0F" w:rsidRPr="00591362" w:rsidRDefault="00EF5E0F" w:rsidP="00EF5E0F">
            <w:pPr>
              <w:pStyle w:val="NoSpacing"/>
              <w:rPr>
                <w:b/>
                <w:sz w:val="20"/>
                <w:szCs w:val="20"/>
              </w:rPr>
            </w:pPr>
            <w:r w:rsidRPr="00591362">
              <w:rPr>
                <w:b/>
                <w:sz w:val="20"/>
                <w:szCs w:val="20"/>
              </w:rPr>
              <w:t>Parameter:</w:t>
            </w:r>
          </w:p>
        </w:tc>
        <w:tc>
          <w:tcPr>
            <w:tcW w:w="3797" w:type="pct"/>
            <w:shd w:val="clear" w:color="auto" w:fill="auto"/>
            <w:tcMar>
              <w:top w:w="62" w:type="dxa"/>
              <w:bottom w:w="62" w:type="dxa"/>
            </w:tcMar>
          </w:tcPr>
          <w:p w:rsidR="00EF5E0F" w:rsidRPr="00591362" w:rsidRDefault="00EF5E0F" w:rsidP="00EF5E0F">
            <w:pPr>
              <w:pStyle w:val="NoSpacing"/>
              <w:rPr>
                <w:sz w:val="20"/>
                <w:szCs w:val="20"/>
              </w:rPr>
            </w:pPr>
            <w:r w:rsidRPr="00591362">
              <w:rPr>
                <w:sz w:val="20"/>
                <w:szCs w:val="20"/>
              </w:rPr>
              <w:t>EF</w:t>
            </w:r>
            <w:r w:rsidRPr="00591362">
              <w:rPr>
                <w:sz w:val="20"/>
                <w:szCs w:val="20"/>
                <w:vertAlign w:val="subscript"/>
              </w:rPr>
              <w:t>CO2</w:t>
            </w:r>
          </w:p>
        </w:tc>
      </w:tr>
      <w:tr w:rsidR="00EF5E0F" w:rsidRPr="00591362" w:rsidTr="00EF5E0F">
        <w:trPr>
          <w:cantSplit/>
        </w:trPr>
        <w:tc>
          <w:tcPr>
            <w:tcW w:w="1203" w:type="pct"/>
            <w:shd w:val="clear" w:color="auto" w:fill="C6D9F1"/>
          </w:tcPr>
          <w:p w:rsidR="00EF5E0F" w:rsidRPr="00591362" w:rsidRDefault="00EF5E0F" w:rsidP="00EF5E0F">
            <w:pPr>
              <w:pStyle w:val="NoSpacing"/>
              <w:rPr>
                <w:b/>
                <w:sz w:val="20"/>
                <w:szCs w:val="20"/>
              </w:rPr>
            </w:pPr>
            <w:r w:rsidRPr="00591362">
              <w:rPr>
                <w:b/>
                <w:sz w:val="20"/>
                <w:szCs w:val="20"/>
              </w:rPr>
              <w:t>Unit:</w:t>
            </w:r>
          </w:p>
        </w:tc>
        <w:tc>
          <w:tcPr>
            <w:tcW w:w="3797" w:type="pct"/>
            <w:shd w:val="clear" w:color="auto" w:fill="auto"/>
          </w:tcPr>
          <w:p w:rsidR="00EF5E0F" w:rsidRPr="00591362" w:rsidRDefault="00EF5E0F" w:rsidP="00EF5E0F">
            <w:pPr>
              <w:pStyle w:val="NoSpacing"/>
              <w:rPr>
                <w:sz w:val="20"/>
                <w:szCs w:val="20"/>
                <w:lang w:val="it-CH"/>
              </w:rPr>
            </w:pPr>
            <w:r w:rsidRPr="00591362">
              <w:rPr>
                <w:sz w:val="20"/>
                <w:szCs w:val="20"/>
                <w:lang w:val="it-CH"/>
              </w:rPr>
              <w:t>gCO</w:t>
            </w:r>
            <w:r w:rsidRPr="00591362">
              <w:rPr>
                <w:sz w:val="20"/>
                <w:szCs w:val="20"/>
                <w:vertAlign w:val="subscript"/>
                <w:lang w:val="it-CH"/>
              </w:rPr>
              <w:t>2</w:t>
            </w:r>
            <w:r w:rsidRPr="00591362">
              <w:rPr>
                <w:sz w:val="20"/>
                <w:szCs w:val="20"/>
                <w:lang w:val="it-CH"/>
              </w:rPr>
              <w:t>/MJ</w:t>
            </w:r>
          </w:p>
        </w:tc>
      </w:tr>
      <w:tr w:rsidR="00EF5E0F" w:rsidRPr="00591362" w:rsidTr="00EF5E0F">
        <w:trPr>
          <w:cantSplit/>
        </w:trPr>
        <w:tc>
          <w:tcPr>
            <w:tcW w:w="1203" w:type="pct"/>
            <w:shd w:val="clear" w:color="auto" w:fill="C6D9F1"/>
          </w:tcPr>
          <w:p w:rsidR="00EF5E0F" w:rsidRPr="00591362" w:rsidRDefault="00EF5E0F" w:rsidP="00EF5E0F">
            <w:pPr>
              <w:pStyle w:val="NoSpacing"/>
              <w:rPr>
                <w:b/>
                <w:sz w:val="20"/>
                <w:szCs w:val="20"/>
              </w:rPr>
            </w:pPr>
            <w:r w:rsidRPr="00591362">
              <w:rPr>
                <w:b/>
                <w:sz w:val="20"/>
                <w:szCs w:val="20"/>
              </w:rPr>
              <w:t>Description:</w:t>
            </w:r>
          </w:p>
        </w:tc>
        <w:tc>
          <w:tcPr>
            <w:tcW w:w="3797" w:type="pct"/>
            <w:shd w:val="clear" w:color="auto" w:fill="auto"/>
          </w:tcPr>
          <w:p w:rsidR="00EF5E0F" w:rsidRPr="00591362" w:rsidRDefault="00EF5E0F" w:rsidP="00DD5471">
            <w:pPr>
              <w:pStyle w:val="NoSpacing"/>
              <w:rPr>
                <w:sz w:val="20"/>
                <w:szCs w:val="20"/>
              </w:rPr>
            </w:pPr>
            <w:r w:rsidRPr="00591362">
              <w:rPr>
                <w:sz w:val="20"/>
                <w:szCs w:val="20"/>
              </w:rPr>
              <w:t>CO</w:t>
            </w:r>
            <w:r w:rsidRPr="00591362">
              <w:rPr>
                <w:sz w:val="20"/>
                <w:szCs w:val="20"/>
                <w:vertAlign w:val="subscript"/>
              </w:rPr>
              <w:t>2</w:t>
            </w:r>
            <w:r w:rsidRPr="00591362">
              <w:rPr>
                <w:sz w:val="20"/>
                <w:szCs w:val="20"/>
              </w:rPr>
              <w:t xml:space="preserve"> emission factor of diesel</w:t>
            </w:r>
          </w:p>
        </w:tc>
      </w:tr>
      <w:tr w:rsidR="00EF5E0F" w:rsidRPr="00591362" w:rsidTr="00EF5E0F">
        <w:trPr>
          <w:cantSplit/>
        </w:trPr>
        <w:tc>
          <w:tcPr>
            <w:tcW w:w="1203" w:type="pct"/>
            <w:shd w:val="clear" w:color="auto" w:fill="C6D9F1"/>
          </w:tcPr>
          <w:p w:rsidR="00EF5E0F" w:rsidRPr="00591362" w:rsidRDefault="00EF5E0F" w:rsidP="00EF5E0F">
            <w:pPr>
              <w:pStyle w:val="NoSpacing"/>
              <w:rPr>
                <w:b/>
                <w:sz w:val="20"/>
                <w:szCs w:val="20"/>
              </w:rPr>
            </w:pPr>
            <w:r w:rsidRPr="00591362">
              <w:rPr>
                <w:b/>
                <w:sz w:val="20"/>
                <w:szCs w:val="20"/>
              </w:rPr>
              <w:t>Source of data:</w:t>
            </w:r>
          </w:p>
        </w:tc>
        <w:tc>
          <w:tcPr>
            <w:tcW w:w="3797" w:type="pct"/>
            <w:shd w:val="clear" w:color="auto" w:fill="auto"/>
          </w:tcPr>
          <w:p w:rsidR="00EF5E0F" w:rsidRPr="00591362" w:rsidRDefault="00EF5E0F" w:rsidP="00EF5E0F">
            <w:pPr>
              <w:pStyle w:val="NoSpacing"/>
              <w:rPr>
                <w:sz w:val="20"/>
                <w:szCs w:val="20"/>
              </w:rPr>
            </w:pPr>
            <w:r w:rsidRPr="00591362">
              <w:rPr>
                <w:sz w:val="20"/>
                <w:szCs w:val="20"/>
              </w:rPr>
              <w:t>IPCC Guidelines for National GHG Inventories, 2006, table 1.4</w:t>
            </w:r>
          </w:p>
        </w:tc>
      </w:tr>
      <w:tr w:rsidR="00EF5E0F" w:rsidRPr="00591362" w:rsidTr="00EF5E0F">
        <w:trPr>
          <w:cantSplit/>
        </w:trPr>
        <w:tc>
          <w:tcPr>
            <w:tcW w:w="1203" w:type="pct"/>
            <w:shd w:val="clear" w:color="auto" w:fill="C6D9F1"/>
          </w:tcPr>
          <w:p w:rsidR="00EF5E0F" w:rsidRPr="00591362" w:rsidRDefault="00EF5E0F" w:rsidP="00EF5E0F">
            <w:pPr>
              <w:pStyle w:val="NoSpacing"/>
              <w:rPr>
                <w:b/>
                <w:sz w:val="20"/>
                <w:szCs w:val="20"/>
              </w:rPr>
            </w:pPr>
            <w:r w:rsidRPr="00591362">
              <w:rPr>
                <w:b/>
                <w:sz w:val="20"/>
                <w:szCs w:val="20"/>
              </w:rPr>
              <w:t>Value(s) applied:</w:t>
            </w:r>
          </w:p>
        </w:tc>
        <w:tc>
          <w:tcPr>
            <w:tcW w:w="3797" w:type="pct"/>
            <w:shd w:val="clear" w:color="auto" w:fill="auto"/>
          </w:tcPr>
          <w:p w:rsidR="00EF5E0F" w:rsidRPr="00591362" w:rsidRDefault="00DD5471" w:rsidP="00EF5E0F">
            <w:pPr>
              <w:pStyle w:val="NoSpacing"/>
              <w:rPr>
                <w:sz w:val="20"/>
                <w:szCs w:val="20"/>
                <w:lang w:val="en-SG"/>
              </w:rPr>
            </w:pPr>
            <w:r>
              <w:rPr>
                <w:sz w:val="20"/>
                <w:szCs w:val="20"/>
                <w:lang w:val="en-SG"/>
              </w:rPr>
              <w:t>74.1</w:t>
            </w:r>
          </w:p>
        </w:tc>
      </w:tr>
      <w:tr w:rsidR="00EF5E0F" w:rsidRPr="00591362" w:rsidTr="00EF5E0F">
        <w:trPr>
          <w:cantSplit/>
        </w:trPr>
        <w:tc>
          <w:tcPr>
            <w:tcW w:w="1203" w:type="pct"/>
            <w:shd w:val="clear" w:color="auto" w:fill="C6D9F1"/>
          </w:tcPr>
          <w:p w:rsidR="00EF5E0F" w:rsidRPr="00591362" w:rsidRDefault="00EF5E0F" w:rsidP="00EF5E0F">
            <w:pPr>
              <w:pStyle w:val="NoSpacing"/>
              <w:rPr>
                <w:b/>
                <w:sz w:val="20"/>
                <w:szCs w:val="20"/>
              </w:rPr>
            </w:pPr>
            <w:r w:rsidRPr="00591362">
              <w:rPr>
                <w:b/>
                <w:sz w:val="20"/>
                <w:szCs w:val="20"/>
              </w:rPr>
              <w:t>Comment:</w:t>
            </w:r>
          </w:p>
        </w:tc>
        <w:tc>
          <w:tcPr>
            <w:tcW w:w="3797" w:type="pct"/>
            <w:shd w:val="clear" w:color="auto" w:fill="auto"/>
          </w:tcPr>
          <w:p w:rsidR="00EF5E0F" w:rsidRPr="00591362" w:rsidRDefault="00EF5E0F" w:rsidP="00EF5E0F">
            <w:pPr>
              <w:pStyle w:val="NoSpacing"/>
              <w:rPr>
                <w:sz w:val="20"/>
                <w:szCs w:val="20"/>
              </w:rPr>
            </w:pPr>
            <w:r w:rsidRPr="00591362">
              <w:rPr>
                <w:sz w:val="20"/>
                <w:szCs w:val="20"/>
              </w:rPr>
              <w:t>Average value taken as reported by IPCC</w:t>
            </w:r>
          </w:p>
        </w:tc>
      </w:tr>
    </w:tbl>
    <w:p w:rsidR="00DD5471" w:rsidRPr="00591362" w:rsidRDefault="00DD5471" w:rsidP="00DD5471">
      <w:pPr>
        <w:pStyle w:val="NoSpacing"/>
        <w:rPr>
          <w:sz w:val="20"/>
          <w:szCs w:val="20"/>
        </w:rPr>
      </w:pP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28" w:type="dxa"/>
          <w:bottom w:w="28" w:type="dxa"/>
        </w:tblCellMar>
        <w:tblLook w:val="01E0" w:firstRow="1" w:lastRow="1" w:firstColumn="1" w:lastColumn="1" w:noHBand="0" w:noVBand="0"/>
      </w:tblPr>
      <w:tblGrid>
        <w:gridCol w:w="2164"/>
        <w:gridCol w:w="6832"/>
      </w:tblGrid>
      <w:tr w:rsidR="00DD5471" w:rsidRPr="00591362" w:rsidTr="00A76204">
        <w:trPr>
          <w:cantSplit/>
        </w:trPr>
        <w:tc>
          <w:tcPr>
            <w:tcW w:w="1203" w:type="pct"/>
            <w:shd w:val="clear" w:color="auto" w:fill="C6D9F1"/>
            <w:tcMar>
              <w:top w:w="62" w:type="dxa"/>
              <w:bottom w:w="62" w:type="dxa"/>
            </w:tcMar>
          </w:tcPr>
          <w:p w:rsidR="00DD5471" w:rsidRPr="00591362" w:rsidRDefault="00DD5471" w:rsidP="00A76204">
            <w:pPr>
              <w:pStyle w:val="NoSpacing"/>
              <w:rPr>
                <w:b/>
                <w:sz w:val="20"/>
                <w:szCs w:val="20"/>
              </w:rPr>
            </w:pPr>
            <w:r w:rsidRPr="00591362">
              <w:rPr>
                <w:b/>
                <w:sz w:val="20"/>
                <w:szCs w:val="20"/>
              </w:rPr>
              <w:t>ID</w:t>
            </w:r>
          </w:p>
        </w:tc>
        <w:tc>
          <w:tcPr>
            <w:tcW w:w="3797" w:type="pct"/>
            <w:shd w:val="clear" w:color="auto" w:fill="auto"/>
            <w:tcMar>
              <w:top w:w="62" w:type="dxa"/>
              <w:bottom w:w="62" w:type="dxa"/>
            </w:tcMar>
          </w:tcPr>
          <w:p w:rsidR="00DD5471" w:rsidRPr="00DE6723" w:rsidRDefault="00DD5471" w:rsidP="00A76204">
            <w:pPr>
              <w:pStyle w:val="NoSpacing"/>
              <w:rPr>
                <w:b/>
                <w:sz w:val="20"/>
                <w:szCs w:val="20"/>
              </w:rPr>
            </w:pPr>
            <w:r>
              <w:rPr>
                <w:b/>
                <w:sz w:val="20"/>
                <w:szCs w:val="20"/>
              </w:rPr>
              <w:t>10</w:t>
            </w:r>
          </w:p>
        </w:tc>
      </w:tr>
      <w:tr w:rsidR="00DD5471" w:rsidRPr="00591362" w:rsidTr="00A76204">
        <w:trPr>
          <w:cantSplit/>
        </w:trPr>
        <w:tc>
          <w:tcPr>
            <w:tcW w:w="1203" w:type="pct"/>
            <w:shd w:val="clear" w:color="auto" w:fill="C6D9F1"/>
            <w:tcMar>
              <w:top w:w="62" w:type="dxa"/>
              <w:bottom w:w="62" w:type="dxa"/>
            </w:tcMar>
          </w:tcPr>
          <w:p w:rsidR="00DD5471" w:rsidRPr="00591362" w:rsidRDefault="00DD5471" w:rsidP="00A76204">
            <w:pPr>
              <w:pStyle w:val="NoSpacing"/>
              <w:rPr>
                <w:b/>
                <w:sz w:val="20"/>
                <w:szCs w:val="20"/>
              </w:rPr>
            </w:pPr>
            <w:r w:rsidRPr="00591362">
              <w:rPr>
                <w:b/>
                <w:sz w:val="20"/>
                <w:szCs w:val="20"/>
              </w:rPr>
              <w:t>Parameter:</w:t>
            </w:r>
          </w:p>
        </w:tc>
        <w:tc>
          <w:tcPr>
            <w:tcW w:w="3797" w:type="pct"/>
            <w:shd w:val="clear" w:color="auto" w:fill="auto"/>
            <w:tcMar>
              <w:top w:w="62" w:type="dxa"/>
              <w:bottom w:w="62" w:type="dxa"/>
            </w:tcMar>
          </w:tcPr>
          <w:p w:rsidR="00DD5471" w:rsidRPr="00591362" w:rsidRDefault="00DD5471" w:rsidP="00A76204">
            <w:pPr>
              <w:pStyle w:val="NoSpacing"/>
              <w:rPr>
                <w:sz w:val="20"/>
                <w:szCs w:val="20"/>
              </w:rPr>
            </w:pPr>
            <w:r w:rsidRPr="00591362">
              <w:rPr>
                <w:sz w:val="20"/>
                <w:szCs w:val="20"/>
              </w:rPr>
              <w:t>BC</w:t>
            </w:r>
          </w:p>
        </w:tc>
      </w:tr>
      <w:tr w:rsidR="00DD5471" w:rsidRPr="00591362" w:rsidTr="00A76204">
        <w:trPr>
          <w:cantSplit/>
        </w:trPr>
        <w:tc>
          <w:tcPr>
            <w:tcW w:w="1203" w:type="pct"/>
            <w:shd w:val="clear" w:color="auto" w:fill="C6D9F1"/>
          </w:tcPr>
          <w:p w:rsidR="00DD5471" w:rsidRPr="00591362" w:rsidRDefault="00DD5471" w:rsidP="00A76204">
            <w:pPr>
              <w:pStyle w:val="NoSpacing"/>
              <w:rPr>
                <w:b/>
                <w:sz w:val="20"/>
                <w:szCs w:val="20"/>
              </w:rPr>
            </w:pPr>
            <w:r w:rsidRPr="00591362">
              <w:rPr>
                <w:b/>
                <w:sz w:val="20"/>
                <w:szCs w:val="20"/>
              </w:rPr>
              <w:t>Unit:</w:t>
            </w:r>
          </w:p>
        </w:tc>
        <w:tc>
          <w:tcPr>
            <w:tcW w:w="3797" w:type="pct"/>
            <w:shd w:val="clear" w:color="auto" w:fill="auto"/>
          </w:tcPr>
          <w:p w:rsidR="00DD5471" w:rsidRPr="00591362" w:rsidRDefault="00DD5471" w:rsidP="00A76204">
            <w:pPr>
              <w:pStyle w:val="NoSpacing"/>
              <w:rPr>
                <w:sz w:val="20"/>
                <w:szCs w:val="20"/>
                <w:lang w:val="it-CH"/>
              </w:rPr>
            </w:pPr>
            <w:r w:rsidRPr="00591362">
              <w:rPr>
                <w:sz w:val="20"/>
                <w:szCs w:val="20"/>
                <w:lang w:val="it-CH"/>
              </w:rPr>
              <w:t>g/km</w:t>
            </w:r>
          </w:p>
        </w:tc>
      </w:tr>
      <w:tr w:rsidR="00DD5471" w:rsidRPr="00591362" w:rsidTr="00A76204">
        <w:trPr>
          <w:cantSplit/>
        </w:trPr>
        <w:tc>
          <w:tcPr>
            <w:tcW w:w="1203" w:type="pct"/>
            <w:shd w:val="clear" w:color="auto" w:fill="C6D9F1"/>
          </w:tcPr>
          <w:p w:rsidR="00DD5471" w:rsidRPr="00591362" w:rsidRDefault="00DD5471" w:rsidP="00A76204">
            <w:pPr>
              <w:pStyle w:val="NoSpacing"/>
              <w:rPr>
                <w:b/>
                <w:sz w:val="20"/>
                <w:szCs w:val="20"/>
              </w:rPr>
            </w:pPr>
            <w:r w:rsidRPr="00591362">
              <w:rPr>
                <w:b/>
                <w:sz w:val="20"/>
                <w:szCs w:val="20"/>
              </w:rPr>
              <w:t>Description:</w:t>
            </w:r>
          </w:p>
        </w:tc>
        <w:tc>
          <w:tcPr>
            <w:tcW w:w="3797" w:type="pct"/>
            <w:shd w:val="clear" w:color="auto" w:fill="auto"/>
          </w:tcPr>
          <w:p w:rsidR="00DD5471" w:rsidRPr="00591362" w:rsidRDefault="00DD5471" w:rsidP="00DD5471">
            <w:pPr>
              <w:pStyle w:val="NoSpacing"/>
              <w:rPr>
                <w:sz w:val="20"/>
                <w:szCs w:val="20"/>
              </w:rPr>
            </w:pPr>
            <w:r w:rsidRPr="00591362">
              <w:rPr>
                <w:sz w:val="20"/>
                <w:szCs w:val="20"/>
              </w:rPr>
              <w:t xml:space="preserve">Black Carbon emissions diesel </w:t>
            </w:r>
            <w:r>
              <w:rPr>
                <w:sz w:val="20"/>
                <w:szCs w:val="20"/>
              </w:rPr>
              <w:t>bus and truck</w:t>
            </w:r>
            <w:r w:rsidRPr="00591362">
              <w:rPr>
                <w:sz w:val="20"/>
                <w:szCs w:val="20"/>
              </w:rPr>
              <w:t xml:space="preserve"> </w:t>
            </w:r>
          </w:p>
        </w:tc>
      </w:tr>
      <w:tr w:rsidR="00DD5471" w:rsidRPr="00DD5471" w:rsidTr="00A76204">
        <w:trPr>
          <w:cantSplit/>
        </w:trPr>
        <w:tc>
          <w:tcPr>
            <w:tcW w:w="1203" w:type="pct"/>
            <w:shd w:val="clear" w:color="auto" w:fill="C6D9F1"/>
          </w:tcPr>
          <w:p w:rsidR="00DD5471" w:rsidRPr="00591362" w:rsidRDefault="00DD5471" w:rsidP="00DD5471">
            <w:pPr>
              <w:pStyle w:val="NoSpacing"/>
              <w:rPr>
                <w:b/>
                <w:sz w:val="20"/>
                <w:szCs w:val="20"/>
              </w:rPr>
            </w:pPr>
            <w:r w:rsidRPr="00591362">
              <w:rPr>
                <w:b/>
                <w:sz w:val="20"/>
                <w:szCs w:val="20"/>
              </w:rPr>
              <w:lastRenderedPageBreak/>
              <w:t>Source of data:</w:t>
            </w:r>
          </w:p>
        </w:tc>
        <w:tc>
          <w:tcPr>
            <w:tcW w:w="3797" w:type="pct"/>
            <w:shd w:val="clear" w:color="auto" w:fill="auto"/>
          </w:tcPr>
          <w:p w:rsidR="00DD5471" w:rsidRPr="00591362" w:rsidRDefault="00DD5471" w:rsidP="00DD5471">
            <w:pPr>
              <w:pStyle w:val="NoSpacing"/>
              <w:rPr>
                <w:sz w:val="20"/>
                <w:szCs w:val="20"/>
                <w:lang w:val="en-SG"/>
              </w:rPr>
            </w:pPr>
            <w:r w:rsidRPr="00591362">
              <w:rPr>
                <w:sz w:val="20"/>
                <w:szCs w:val="20"/>
              </w:rPr>
              <w:t xml:space="preserve">Corinair Emission Inventory Guidebook/EMEP/EEA, Emission Inventory Guidebook 2013 updated 09/2014, </w:t>
            </w:r>
            <w:r>
              <w:rPr>
                <w:sz w:val="20"/>
                <w:szCs w:val="20"/>
              </w:rPr>
              <w:t xml:space="preserve">various </w:t>
            </w:r>
            <w:r w:rsidRPr="00591362">
              <w:rPr>
                <w:sz w:val="20"/>
                <w:szCs w:val="20"/>
              </w:rPr>
              <w:t>table</w:t>
            </w:r>
            <w:r>
              <w:rPr>
                <w:sz w:val="20"/>
                <w:szCs w:val="20"/>
              </w:rPr>
              <w:t>s</w:t>
            </w:r>
            <w:r w:rsidRPr="00591362">
              <w:rPr>
                <w:sz w:val="20"/>
                <w:szCs w:val="20"/>
              </w:rPr>
              <w:t xml:space="preserve"> </w:t>
            </w:r>
          </w:p>
        </w:tc>
      </w:tr>
      <w:tr w:rsidR="00DD5471" w:rsidRPr="00591362" w:rsidTr="00A76204">
        <w:trPr>
          <w:cantSplit/>
        </w:trPr>
        <w:tc>
          <w:tcPr>
            <w:tcW w:w="1203" w:type="pct"/>
            <w:shd w:val="clear" w:color="auto" w:fill="C6D9F1"/>
          </w:tcPr>
          <w:p w:rsidR="00DD5471" w:rsidRPr="00591362" w:rsidRDefault="00DD5471" w:rsidP="00DD5471">
            <w:pPr>
              <w:pStyle w:val="NoSpacing"/>
              <w:rPr>
                <w:b/>
                <w:sz w:val="20"/>
                <w:szCs w:val="20"/>
              </w:rPr>
            </w:pPr>
            <w:r w:rsidRPr="00591362">
              <w:rPr>
                <w:b/>
                <w:sz w:val="20"/>
                <w:szCs w:val="20"/>
              </w:rPr>
              <w:t>Value(s) applied:</w:t>
            </w:r>
          </w:p>
        </w:tc>
        <w:tc>
          <w:tcPr>
            <w:tcW w:w="3797" w:type="pct"/>
            <w:shd w:val="clear" w:color="auto" w:fill="auto"/>
          </w:tcPr>
          <w:p w:rsidR="00DD5471" w:rsidRDefault="00DD5471" w:rsidP="00DD5471">
            <w:pPr>
              <w:pStyle w:val="NoSpacing"/>
              <w:rPr>
                <w:sz w:val="20"/>
                <w:szCs w:val="20"/>
                <w:lang w:val="en-SG"/>
              </w:rPr>
            </w:pPr>
            <w:r>
              <w:rPr>
                <w:sz w:val="20"/>
                <w:szCs w:val="20"/>
                <w:lang w:val="en-SG"/>
              </w:rPr>
              <w:t>0.0235 g/km for coaches</w:t>
            </w:r>
          </w:p>
          <w:p w:rsidR="00DD5471" w:rsidRPr="00591362" w:rsidRDefault="00DD5471" w:rsidP="00DD5471">
            <w:pPr>
              <w:pStyle w:val="NoSpacing"/>
              <w:rPr>
                <w:sz w:val="20"/>
                <w:szCs w:val="20"/>
                <w:lang w:val="en-SG"/>
              </w:rPr>
            </w:pPr>
            <w:r>
              <w:rPr>
                <w:sz w:val="20"/>
                <w:szCs w:val="20"/>
                <w:lang w:val="en-SG"/>
              </w:rPr>
              <w:t>0.131 g/km for trucks</w:t>
            </w:r>
          </w:p>
        </w:tc>
      </w:tr>
      <w:tr w:rsidR="00DD5471" w:rsidRPr="00591362" w:rsidTr="00A76204">
        <w:trPr>
          <w:cantSplit/>
        </w:trPr>
        <w:tc>
          <w:tcPr>
            <w:tcW w:w="1203" w:type="pct"/>
            <w:shd w:val="clear" w:color="auto" w:fill="C6D9F1"/>
          </w:tcPr>
          <w:p w:rsidR="00DD5471" w:rsidRPr="00591362" w:rsidRDefault="00DD5471" w:rsidP="00DD5471">
            <w:pPr>
              <w:pStyle w:val="NoSpacing"/>
              <w:rPr>
                <w:b/>
                <w:sz w:val="20"/>
                <w:szCs w:val="20"/>
              </w:rPr>
            </w:pPr>
            <w:r w:rsidRPr="00591362">
              <w:rPr>
                <w:b/>
                <w:sz w:val="20"/>
                <w:szCs w:val="20"/>
              </w:rPr>
              <w:t>Comment:</w:t>
            </w:r>
          </w:p>
        </w:tc>
        <w:tc>
          <w:tcPr>
            <w:tcW w:w="3797" w:type="pct"/>
            <w:shd w:val="clear" w:color="auto" w:fill="auto"/>
          </w:tcPr>
          <w:p w:rsidR="00DD5471" w:rsidRDefault="00DD5471" w:rsidP="00DD5471">
            <w:pPr>
              <w:pStyle w:val="NoSpacing"/>
              <w:rPr>
                <w:sz w:val="20"/>
                <w:szCs w:val="20"/>
                <w:lang w:val="en-US"/>
              </w:rPr>
            </w:pPr>
            <w:r w:rsidRPr="00591362">
              <w:rPr>
                <w:sz w:val="20"/>
                <w:szCs w:val="20"/>
                <w:lang w:val="en-US"/>
              </w:rPr>
              <w:t xml:space="preserve">Calculation based on PM emissions and the BC fraction </w:t>
            </w:r>
            <w:r>
              <w:rPr>
                <w:sz w:val="20"/>
                <w:szCs w:val="20"/>
                <w:lang w:val="en-US"/>
              </w:rPr>
              <w:t>within PM for Euro I vehicles (</w:t>
            </w:r>
            <w:r w:rsidRPr="00591362">
              <w:rPr>
                <w:sz w:val="20"/>
                <w:szCs w:val="20"/>
                <w:lang w:val="en-US"/>
              </w:rPr>
              <w:t>Tier 2/3 approach</w:t>
            </w:r>
            <w:r>
              <w:rPr>
                <w:sz w:val="20"/>
                <w:szCs w:val="20"/>
                <w:lang w:val="en-US"/>
              </w:rPr>
              <w:t>)</w:t>
            </w:r>
            <w:r w:rsidRPr="00591362">
              <w:rPr>
                <w:sz w:val="20"/>
                <w:szCs w:val="20"/>
                <w:lang w:val="en-US"/>
              </w:rPr>
              <w:t xml:space="preserve"> </w:t>
            </w:r>
          </w:p>
          <w:p w:rsidR="00DD5471" w:rsidRDefault="00DD5471" w:rsidP="00DD5471">
            <w:pPr>
              <w:pStyle w:val="NoSpacing"/>
              <w:rPr>
                <w:sz w:val="20"/>
                <w:szCs w:val="20"/>
                <w:lang w:val="en-US"/>
              </w:rPr>
            </w:pPr>
            <w:r>
              <w:rPr>
                <w:sz w:val="20"/>
                <w:szCs w:val="20"/>
                <w:lang w:val="en-US"/>
              </w:rPr>
              <w:t>BC fraction of PM2.5: 65% for Euro I HDVs (</w:t>
            </w:r>
            <w:r w:rsidRPr="00DD5471">
              <w:rPr>
                <w:sz w:val="20"/>
                <w:szCs w:val="20"/>
                <w:lang w:val="en-US"/>
              </w:rPr>
              <w:t>COPERT; table A.4.0.2 Tier 3</w:t>
            </w:r>
            <w:r>
              <w:rPr>
                <w:sz w:val="20"/>
                <w:szCs w:val="20"/>
                <w:lang w:val="en-US"/>
              </w:rPr>
              <w:t>); PM 2.5 emissions see below</w:t>
            </w:r>
          </w:p>
          <w:p w:rsidR="00DD5471" w:rsidRPr="00591362" w:rsidRDefault="00DD5471" w:rsidP="00DD5471">
            <w:pPr>
              <w:pStyle w:val="NoSpacing"/>
              <w:rPr>
                <w:sz w:val="20"/>
                <w:szCs w:val="20"/>
              </w:rPr>
            </w:pPr>
            <w:r>
              <w:rPr>
                <w:sz w:val="20"/>
                <w:szCs w:val="20"/>
                <w:lang w:val="en-US"/>
              </w:rPr>
              <w:t>Value needs to be updated with vehicles being upgraded to Euro II, III and further standards. Also values need to be updated if truck size changes.</w:t>
            </w:r>
          </w:p>
        </w:tc>
      </w:tr>
    </w:tbl>
    <w:p w:rsidR="00DD5471" w:rsidRPr="00591362" w:rsidRDefault="00DD5471" w:rsidP="00DD5471">
      <w:pPr>
        <w:pStyle w:val="NoSpacing"/>
        <w:rPr>
          <w:sz w:val="20"/>
          <w:szCs w:val="20"/>
        </w:rPr>
      </w:pP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28" w:type="dxa"/>
          <w:bottom w:w="28" w:type="dxa"/>
        </w:tblCellMar>
        <w:tblLook w:val="01E0" w:firstRow="1" w:lastRow="1" w:firstColumn="1" w:lastColumn="1" w:noHBand="0" w:noVBand="0"/>
      </w:tblPr>
      <w:tblGrid>
        <w:gridCol w:w="2164"/>
        <w:gridCol w:w="6832"/>
      </w:tblGrid>
      <w:tr w:rsidR="00DD5471" w:rsidRPr="00591362" w:rsidTr="00A76204">
        <w:trPr>
          <w:cantSplit/>
        </w:trPr>
        <w:tc>
          <w:tcPr>
            <w:tcW w:w="1203" w:type="pct"/>
            <w:shd w:val="clear" w:color="auto" w:fill="C6D9F1"/>
            <w:tcMar>
              <w:top w:w="62" w:type="dxa"/>
              <w:bottom w:w="62" w:type="dxa"/>
            </w:tcMar>
          </w:tcPr>
          <w:p w:rsidR="00DD5471" w:rsidRPr="00591362" w:rsidRDefault="00DD5471" w:rsidP="00A76204">
            <w:pPr>
              <w:pStyle w:val="NoSpacing"/>
              <w:rPr>
                <w:b/>
                <w:sz w:val="20"/>
                <w:szCs w:val="20"/>
              </w:rPr>
            </w:pPr>
            <w:r w:rsidRPr="00591362">
              <w:rPr>
                <w:b/>
                <w:sz w:val="20"/>
                <w:szCs w:val="20"/>
              </w:rPr>
              <w:t>ID</w:t>
            </w:r>
          </w:p>
        </w:tc>
        <w:tc>
          <w:tcPr>
            <w:tcW w:w="3797" w:type="pct"/>
            <w:shd w:val="clear" w:color="auto" w:fill="auto"/>
            <w:tcMar>
              <w:top w:w="62" w:type="dxa"/>
              <w:bottom w:w="62" w:type="dxa"/>
            </w:tcMar>
          </w:tcPr>
          <w:p w:rsidR="00DD5471" w:rsidRPr="00DE6723" w:rsidRDefault="00DD5471" w:rsidP="00A76204">
            <w:pPr>
              <w:pStyle w:val="NoSpacing"/>
              <w:rPr>
                <w:b/>
                <w:sz w:val="20"/>
                <w:szCs w:val="20"/>
              </w:rPr>
            </w:pPr>
            <w:r>
              <w:rPr>
                <w:b/>
                <w:sz w:val="20"/>
                <w:szCs w:val="20"/>
              </w:rPr>
              <w:t>11</w:t>
            </w:r>
          </w:p>
        </w:tc>
      </w:tr>
      <w:tr w:rsidR="00DD5471" w:rsidRPr="00591362" w:rsidTr="00A76204">
        <w:trPr>
          <w:cantSplit/>
        </w:trPr>
        <w:tc>
          <w:tcPr>
            <w:tcW w:w="1203" w:type="pct"/>
            <w:shd w:val="clear" w:color="auto" w:fill="C6D9F1"/>
            <w:tcMar>
              <w:top w:w="62" w:type="dxa"/>
              <w:bottom w:w="62" w:type="dxa"/>
            </w:tcMar>
          </w:tcPr>
          <w:p w:rsidR="00DD5471" w:rsidRPr="00591362" w:rsidRDefault="00DD5471" w:rsidP="00A76204">
            <w:pPr>
              <w:pStyle w:val="NoSpacing"/>
              <w:rPr>
                <w:b/>
                <w:sz w:val="20"/>
                <w:szCs w:val="20"/>
              </w:rPr>
            </w:pPr>
            <w:r w:rsidRPr="00591362">
              <w:rPr>
                <w:b/>
                <w:sz w:val="20"/>
                <w:szCs w:val="20"/>
              </w:rPr>
              <w:t>Parameter:</w:t>
            </w:r>
          </w:p>
        </w:tc>
        <w:tc>
          <w:tcPr>
            <w:tcW w:w="3797" w:type="pct"/>
            <w:shd w:val="clear" w:color="auto" w:fill="auto"/>
            <w:tcMar>
              <w:top w:w="62" w:type="dxa"/>
              <w:bottom w:w="62" w:type="dxa"/>
            </w:tcMar>
          </w:tcPr>
          <w:p w:rsidR="00DD5471" w:rsidRPr="00591362" w:rsidRDefault="00DD5471" w:rsidP="00A76204">
            <w:pPr>
              <w:pStyle w:val="NoSpacing"/>
              <w:rPr>
                <w:sz w:val="20"/>
                <w:szCs w:val="20"/>
              </w:rPr>
            </w:pPr>
            <w:r>
              <w:rPr>
                <w:sz w:val="20"/>
                <w:szCs w:val="20"/>
              </w:rPr>
              <w:t>EF</w:t>
            </w:r>
            <w:r w:rsidRPr="00DE6723">
              <w:rPr>
                <w:sz w:val="20"/>
                <w:szCs w:val="20"/>
                <w:vertAlign w:val="subscript"/>
              </w:rPr>
              <w:t>PM</w:t>
            </w:r>
            <w:r>
              <w:rPr>
                <w:sz w:val="20"/>
                <w:szCs w:val="20"/>
                <w:vertAlign w:val="subscript"/>
              </w:rPr>
              <w:t>/NOx</w:t>
            </w:r>
          </w:p>
        </w:tc>
      </w:tr>
      <w:tr w:rsidR="00DD5471" w:rsidRPr="00591362" w:rsidTr="00A76204">
        <w:trPr>
          <w:cantSplit/>
        </w:trPr>
        <w:tc>
          <w:tcPr>
            <w:tcW w:w="1203" w:type="pct"/>
            <w:shd w:val="clear" w:color="auto" w:fill="C6D9F1"/>
          </w:tcPr>
          <w:p w:rsidR="00DD5471" w:rsidRPr="00591362" w:rsidRDefault="00DD5471" w:rsidP="00A76204">
            <w:pPr>
              <w:pStyle w:val="NoSpacing"/>
              <w:rPr>
                <w:b/>
                <w:sz w:val="20"/>
                <w:szCs w:val="20"/>
              </w:rPr>
            </w:pPr>
            <w:r w:rsidRPr="00591362">
              <w:rPr>
                <w:b/>
                <w:sz w:val="20"/>
                <w:szCs w:val="20"/>
              </w:rPr>
              <w:t>Unit:</w:t>
            </w:r>
          </w:p>
        </w:tc>
        <w:tc>
          <w:tcPr>
            <w:tcW w:w="3797" w:type="pct"/>
            <w:shd w:val="clear" w:color="auto" w:fill="auto"/>
          </w:tcPr>
          <w:p w:rsidR="00DD5471" w:rsidRPr="00591362" w:rsidRDefault="00DD5471" w:rsidP="00DD5471">
            <w:pPr>
              <w:pStyle w:val="NoSpacing"/>
              <w:rPr>
                <w:sz w:val="20"/>
                <w:szCs w:val="20"/>
                <w:lang w:val="it-CH"/>
              </w:rPr>
            </w:pPr>
            <w:r>
              <w:rPr>
                <w:sz w:val="20"/>
                <w:szCs w:val="20"/>
                <w:lang w:val="it-CH"/>
              </w:rPr>
              <w:t>g/km</w:t>
            </w:r>
            <w:r w:rsidRPr="00591362">
              <w:rPr>
                <w:sz w:val="20"/>
                <w:szCs w:val="20"/>
                <w:lang w:val="it-CH"/>
              </w:rPr>
              <w:t xml:space="preserve"> </w:t>
            </w:r>
          </w:p>
        </w:tc>
      </w:tr>
      <w:tr w:rsidR="00DD5471" w:rsidRPr="00591362" w:rsidTr="00A76204">
        <w:trPr>
          <w:cantSplit/>
        </w:trPr>
        <w:tc>
          <w:tcPr>
            <w:tcW w:w="1203" w:type="pct"/>
            <w:shd w:val="clear" w:color="auto" w:fill="C6D9F1"/>
          </w:tcPr>
          <w:p w:rsidR="00DD5471" w:rsidRPr="00591362" w:rsidRDefault="00DD5471" w:rsidP="00A76204">
            <w:pPr>
              <w:pStyle w:val="NoSpacing"/>
              <w:rPr>
                <w:b/>
                <w:sz w:val="20"/>
                <w:szCs w:val="20"/>
              </w:rPr>
            </w:pPr>
            <w:r w:rsidRPr="00591362">
              <w:rPr>
                <w:b/>
                <w:sz w:val="20"/>
                <w:szCs w:val="20"/>
              </w:rPr>
              <w:t>Description:</w:t>
            </w:r>
          </w:p>
        </w:tc>
        <w:tc>
          <w:tcPr>
            <w:tcW w:w="3797" w:type="pct"/>
            <w:shd w:val="clear" w:color="auto" w:fill="auto"/>
          </w:tcPr>
          <w:p w:rsidR="00DD5471" w:rsidRPr="00591362" w:rsidRDefault="00DD5471" w:rsidP="00DD5471">
            <w:pPr>
              <w:pStyle w:val="NoSpacing"/>
              <w:rPr>
                <w:sz w:val="20"/>
                <w:szCs w:val="20"/>
              </w:rPr>
            </w:pPr>
            <w:r>
              <w:rPr>
                <w:sz w:val="20"/>
                <w:szCs w:val="20"/>
              </w:rPr>
              <w:t>Particle Matter and NO</w:t>
            </w:r>
            <w:r w:rsidRPr="00DD5471">
              <w:rPr>
                <w:sz w:val="20"/>
                <w:szCs w:val="20"/>
                <w:vertAlign w:val="subscript"/>
              </w:rPr>
              <w:t>x</w:t>
            </w:r>
            <w:r>
              <w:rPr>
                <w:sz w:val="20"/>
                <w:szCs w:val="20"/>
              </w:rPr>
              <w:t xml:space="preserve"> emission factor</w:t>
            </w:r>
            <w:r w:rsidRPr="00591362">
              <w:rPr>
                <w:sz w:val="20"/>
                <w:szCs w:val="20"/>
              </w:rPr>
              <w:t xml:space="preserve"> diesel </w:t>
            </w:r>
            <w:r>
              <w:rPr>
                <w:sz w:val="20"/>
                <w:szCs w:val="20"/>
              </w:rPr>
              <w:t>coach and HDV</w:t>
            </w:r>
          </w:p>
        </w:tc>
      </w:tr>
      <w:tr w:rsidR="00DD5471" w:rsidRPr="00591362" w:rsidTr="00A76204">
        <w:trPr>
          <w:cantSplit/>
        </w:trPr>
        <w:tc>
          <w:tcPr>
            <w:tcW w:w="1203" w:type="pct"/>
            <w:shd w:val="clear" w:color="auto" w:fill="C6D9F1"/>
          </w:tcPr>
          <w:p w:rsidR="00DD5471" w:rsidRPr="00591362" w:rsidRDefault="00DD5471" w:rsidP="00A76204">
            <w:pPr>
              <w:pStyle w:val="NoSpacing"/>
              <w:rPr>
                <w:b/>
                <w:sz w:val="20"/>
                <w:szCs w:val="20"/>
              </w:rPr>
            </w:pPr>
            <w:r w:rsidRPr="00591362">
              <w:rPr>
                <w:b/>
                <w:sz w:val="20"/>
                <w:szCs w:val="20"/>
              </w:rPr>
              <w:t>Source of data:</w:t>
            </w:r>
          </w:p>
        </w:tc>
        <w:tc>
          <w:tcPr>
            <w:tcW w:w="3797" w:type="pct"/>
            <w:shd w:val="clear" w:color="auto" w:fill="auto"/>
          </w:tcPr>
          <w:p w:rsidR="00DD5471" w:rsidRPr="00591362" w:rsidRDefault="00DD5471" w:rsidP="00A76204">
            <w:pPr>
              <w:pStyle w:val="NoSpacing"/>
              <w:rPr>
                <w:sz w:val="20"/>
                <w:szCs w:val="20"/>
              </w:rPr>
            </w:pPr>
            <w:r w:rsidRPr="00591362">
              <w:rPr>
                <w:sz w:val="20"/>
                <w:szCs w:val="20"/>
              </w:rPr>
              <w:t xml:space="preserve">Corinair Emission Inventory Guidebook/EMEP/EEA, Emission Inventory Guidebook 2013 updated 09/2014, </w:t>
            </w:r>
            <w:r>
              <w:rPr>
                <w:sz w:val="20"/>
                <w:szCs w:val="20"/>
              </w:rPr>
              <w:t xml:space="preserve">various </w:t>
            </w:r>
            <w:r w:rsidRPr="00591362">
              <w:rPr>
                <w:sz w:val="20"/>
                <w:szCs w:val="20"/>
              </w:rPr>
              <w:t>table</w:t>
            </w:r>
            <w:r>
              <w:rPr>
                <w:sz w:val="20"/>
                <w:szCs w:val="20"/>
              </w:rPr>
              <w:t>s</w:t>
            </w:r>
          </w:p>
        </w:tc>
      </w:tr>
      <w:tr w:rsidR="00DD5471" w:rsidRPr="00591362" w:rsidTr="00A76204">
        <w:trPr>
          <w:cantSplit/>
        </w:trPr>
        <w:tc>
          <w:tcPr>
            <w:tcW w:w="1203" w:type="pct"/>
            <w:shd w:val="clear" w:color="auto" w:fill="C6D9F1"/>
          </w:tcPr>
          <w:p w:rsidR="00DD5471" w:rsidRPr="00591362" w:rsidRDefault="00DD5471" w:rsidP="00A76204">
            <w:pPr>
              <w:pStyle w:val="NoSpacing"/>
              <w:rPr>
                <w:b/>
                <w:sz w:val="20"/>
                <w:szCs w:val="20"/>
              </w:rPr>
            </w:pPr>
            <w:r w:rsidRPr="00591362">
              <w:rPr>
                <w:b/>
                <w:sz w:val="20"/>
                <w:szCs w:val="20"/>
              </w:rPr>
              <w:t>Value(s) applied:</w:t>
            </w:r>
          </w:p>
        </w:tc>
        <w:tc>
          <w:tcPr>
            <w:tcW w:w="3797" w:type="pct"/>
            <w:shd w:val="clear" w:color="auto" w:fill="auto"/>
          </w:tcPr>
          <w:p w:rsidR="00DD5471" w:rsidRPr="00DD5471" w:rsidRDefault="00DD5471" w:rsidP="00A76204">
            <w:pPr>
              <w:pStyle w:val="NoSpacing"/>
              <w:rPr>
                <w:sz w:val="20"/>
                <w:szCs w:val="20"/>
              </w:rPr>
            </w:pPr>
            <w:r w:rsidRPr="00DD5471">
              <w:rPr>
                <w:sz w:val="20"/>
                <w:szCs w:val="20"/>
              </w:rPr>
              <w:t>Coach bus</w:t>
            </w:r>
            <w:r>
              <w:rPr>
                <w:sz w:val="20"/>
                <w:szCs w:val="20"/>
              </w:rPr>
              <w:t>: 0.362 for PM2.5 and 9.2 for NO</w:t>
            </w:r>
            <w:r w:rsidRPr="00DD5471">
              <w:rPr>
                <w:sz w:val="20"/>
                <w:szCs w:val="20"/>
                <w:vertAlign w:val="subscript"/>
              </w:rPr>
              <w:t>x</w:t>
            </w:r>
          </w:p>
          <w:p w:rsidR="00DD5471" w:rsidRPr="00DD5471" w:rsidRDefault="00DD5471" w:rsidP="00A76204">
            <w:pPr>
              <w:pStyle w:val="NoSpacing"/>
              <w:rPr>
                <w:sz w:val="20"/>
                <w:szCs w:val="20"/>
              </w:rPr>
            </w:pPr>
            <w:r>
              <w:rPr>
                <w:sz w:val="20"/>
                <w:szCs w:val="20"/>
              </w:rPr>
              <w:t>Truck: 0.201 for PM2.5 and 5.31 for NO</w:t>
            </w:r>
            <w:r w:rsidRPr="00DD5471">
              <w:rPr>
                <w:sz w:val="20"/>
                <w:szCs w:val="20"/>
                <w:vertAlign w:val="subscript"/>
              </w:rPr>
              <w:t>x</w:t>
            </w:r>
          </w:p>
        </w:tc>
      </w:tr>
      <w:tr w:rsidR="00DD5471" w:rsidRPr="00591362" w:rsidTr="00A76204">
        <w:trPr>
          <w:cantSplit/>
        </w:trPr>
        <w:tc>
          <w:tcPr>
            <w:tcW w:w="1203" w:type="pct"/>
            <w:shd w:val="clear" w:color="auto" w:fill="C6D9F1"/>
          </w:tcPr>
          <w:p w:rsidR="00DD5471" w:rsidRPr="00591362" w:rsidRDefault="00DD5471" w:rsidP="00DD5471">
            <w:pPr>
              <w:pStyle w:val="NoSpacing"/>
              <w:rPr>
                <w:b/>
                <w:sz w:val="20"/>
                <w:szCs w:val="20"/>
              </w:rPr>
            </w:pPr>
            <w:r w:rsidRPr="00591362">
              <w:rPr>
                <w:b/>
                <w:sz w:val="20"/>
                <w:szCs w:val="20"/>
              </w:rPr>
              <w:t>Comment:</w:t>
            </w:r>
          </w:p>
        </w:tc>
        <w:tc>
          <w:tcPr>
            <w:tcW w:w="3797" w:type="pct"/>
            <w:shd w:val="clear" w:color="auto" w:fill="auto"/>
          </w:tcPr>
          <w:p w:rsidR="00DD5471" w:rsidRDefault="00DD5471" w:rsidP="00DD5471">
            <w:pPr>
              <w:pStyle w:val="NoSpacing"/>
              <w:rPr>
                <w:sz w:val="20"/>
                <w:szCs w:val="20"/>
                <w:lang w:val="en-US"/>
              </w:rPr>
            </w:pPr>
            <w:r w:rsidRPr="00591362">
              <w:rPr>
                <w:sz w:val="20"/>
                <w:szCs w:val="20"/>
                <w:lang w:val="en-US"/>
              </w:rPr>
              <w:t>Tier 2</w:t>
            </w:r>
            <w:r>
              <w:rPr>
                <w:sz w:val="20"/>
                <w:szCs w:val="20"/>
                <w:lang w:val="en-US"/>
              </w:rPr>
              <w:t xml:space="preserve"> </w:t>
            </w:r>
            <w:r w:rsidRPr="00591362">
              <w:rPr>
                <w:sz w:val="20"/>
                <w:szCs w:val="20"/>
                <w:lang w:val="en-US"/>
              </w:rPr>
              <w:t>approach</w:t>
            </w:r>
            <w:r>
              <w:rPr>
                <w:sz w:val="20"/>
                <w:szCs w:val="20"/>
                <w:lang w:val="en-US"/>
              </w:rPr>
              <w:t xml:space="preserve"> based on Euro I vehicle; trucks based on 7.5-16t</w:t>
            </w:r>
            <w:r w:rsidRPr="00591362">
              <w:rPr>
                <w:sz w:val="20"/>
                <w:szCs w:val="20"/>
                <w:lang w:val="en-US"/>
              </w:rPr>
              <w:t xml:space="preserve"> </w:t>
            </w:r>
          </w:p>
          <w:p w:rsidR="00DD5471" w:rsidRPr="00591362" w:rsidRDefault="00DD5471" w:rsidP="00DD5471">
            <w:pPr>
              <w:pStyle w:val="NoSpacing"/>
              <w:rPr>
                <w:sz w:val="20"/>
                <w:szCs w:val="20"/>
              </w:rPr>
            </w:pPr>
            <w:r>
              <w:rPr>
                <w:sz w:val="20"/>
                <w:szCs w:val="20"/>
                <w:lang w:val="en-US"/>
              </w:rPr>
              <w:t>Value needs to be updated with vehicles being upgraded to Euro II, III and further standards. Also values need to be updated if truck size changes.</w:t>
            </w:r>
          </w:p>
        </w:tc>
      </w:tr>
    </w:tbl>
    <w:p w:rsidR="00DD5471" w:rsidRPr="00591362" w:rsidRDefault="00DD5471" w:rsidP="00DD5471">
      <w:pPr>
        <w:pStyle w:val="NoSpacing"/>
        <w:rPr>
          <w:sz w:val="20"/>
          <w:szCs w:val="20"/>
        </w:rPr>
      </w:pP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28" w:type="dxa"/>
          <w:bottom w:w="28" w:type="dxa"/>
        </w:tblCellMar>
        <w:tblLook w:val="01E0" w:firstRow="1" w:lastRow="1" w:firstColumn="1" w:lastColumn="1" w:noHBand="0" w:noVBand="0"/>
      </w:tblPr>
      <w:tblGrid>
        <w:gridCol w:w="2164"/>
        <w:gridCol w:w="6832"/>
      </w:tblGrid>
      <w:tr w:rsidR="00DD5471" w:rsidRPr="00591362" w:rsidTr="00A76204">
        <w:trPr>
          <w:cantSplit/>
        </w:trPr>
        <w:tc>
          <w:tcPr>
            <w:tcW w:w="1203" w:type="pct"/>
            <w:shd w:val="clear" w:color="auto" w:fill="C6D9F1"/>
            <w:tcMar>
              <w:top w:w="62" w:type="dxa"/>
              <w:bottom w:w="62" w:type="dxa"/>
            </w:tcMar>
          </w:tcPr>
          <w:p w:rsidR="00DD5471" w:rsidRPr="00591362" w:rsidRDefault="00DD5471" w:rsidP="00A76204">
            <w:pPr>
              <w:pStyle w:val="NoSpacing"/>
              <w:rPr>
                <w:b/>
                <w:sz w:val="20"/>
                <w:szCs w:val="20"/>
              </w:rPr>
            </w:pPr>
            <w:r w:rsidRPr="00591362">
              <w:rPr>
                <w:b/>
                <w:sz w:val="20"/>
                <w:szCs w:val="20"/>
              </w:rPr>
              <w:t>ID</w:t>
            </w:r>
          </w:p>
        </w:tc>
        <w:tc>
          <w:tcPr>
            <w:tcW w:w="3797" w:type="pct"/>
            <w:shd w:val="clear" w:color="auto" w:fill="auto"/>
            <w:tcMar>
              <w:top w:w="62" w:type="dxa"/>
              <w:bottom w:w="62" w:type="dxa"/>
            </w:tcMar>
          </w:tcPr>
          <w:p w:rsidR="00DD5471" w:rsidRPr="00DE6723" w:rsidRDefault="00DD5471" w:rsidP="00A76204">
            <w:pPr>
              <w:pStyle w:val="NoSpacing"/>
              <w:rPr>
                <w:b/>
                <w:sz w:val="20"/>
                <w:szCs w:val="20"/>
              </w:rPr>
            </w:pPr>
            <w:r>
              <w:rPr>
                <w:b/>
                <w:sz w:val="20"/>
                <w:szCs w:val="20"/>
              </w:rPr>
              <w:t>12</w:t>
            </w:r>
          </w:p>
        </w:tc>
      </w:tr>
      <w:tr w:rsidR="00DD5471" w:rsidRPr="00591362" w:rsidTr="00A76204">
        <w:trPr>
          <w:cantSplit/>
        </w:trPr>
        <w:tc>
          <w:tcPr>
            <w:tcW w:w="1203" w:type="pct"/>
            <w:shd w:val="clear" w:color="auto" w:fill="C6D9F1"/>
            <w:tcMar>
              <w:top w:w="62" w:type="dxa"/>
              <w:bottom w:w="62" w:type="dxa"/>
            </w:tcMar>
          </w:tcPr>
          <w:p w:rsidR="00DD5471" w:rsidRPr="00591362" w:rsidRDefault="00DD5471" w:rsidP="00A76204">
            <w:pPr>
              <w:pStyle w:val="NoSpacing"/>
              <w:rPr>
                <w:b/>
                <w:sz w:val="20"/>
                <w:szCs w:val="20"/>
              </w:rPr>
            </w:pPr>
            <w:r w:rsidRPr="00591362">
              <w:rPr>
                <w:b/>
                <w:sz w:val="20"/>
                <w:szCs w:val="20"/>
              </w:rPr>
              <w:t>Parameter:</w:t>
            </w:r>
          </w:p>
        </w:tc>
        <w:tc>
          <w:tcPr>
            <w:tcW w:w="3797" w:type="pct"/>
            <w:shd w:val="clear" w:color="auto" w:fill="auto"/>
            <w:tcMar>
              <w:top w:w="62" w:type="dxa"/>
              <w:bottom w:w="62" w:type="dxa"/>
            </w:tcMar>
          </w:tcPr>
          <w:p w:rsidR="00DD5471" w:rsidRPr="00591362" w:rsidRDefault="00DD5471" w:rsidP="00A76204">
            <w:pPr>
              <w:pStyle w:val="NoSpacing"/>
              <w:rPr>
                <w:sz w:val="20"/>
                <w:szCs w:val="20"/>
              </w:rPr>
            </w:pPr>
            <w:r w:rsidRPr="00591362">
              <w:rPr>
                <w:sz w:val="20"/>
                <w:szCs w:val="20"/>
              </w:rPr>
              <w:t>GWP BC</w:t>
            </w:r>
          </w:p>
        </w:tc>
      </w:tr>
      <w:tr w:rsidR="00DD5471" w:rsidRPr="00591362" w:rsidTr="00A76204">
        <w:trPr>
          <w:cantSplit/>
        </w:trPr>
        <w:tc>
          <w:tcPr>
            <w:tcW w:w="1203" w:type="pct"/>
            <w:shd w:val="clear" w:color="auto" w:fill="C6D9F1"/>
          </w:tcPr>
          <w:p w:rsidR="00DD5471" w:rsidRPr="00591362" w:rsidRDefault="00DD5471" w:rsidP="00A76204">
            <w:pPr>
              <w:pStyle w:val="NoSpacing"/>
              <w:rPr>
                <w:b/>
                <w:sz w:val="20"/>
                <w:szCs w:val="20"/>
              </w:rPr>
            </w:pPr>
            <w:r w:rsidRPr="00591362">
              <w:rPr>
                <w:b/>
                <w:sz w:val="20"/>
                <w:szCs w:val="20"/>
              </w:rPr>
              <w:t>Unit:</w:t>
            </w:r>
          </w:p>
        </w:tc>
        <w:tc>
          <w:tcPr>
            <w:tcW w:w="3797" w:type="pct"/>
            <w:shd w:val="clear" w:color="auto" w:fill="auto"/>
          </w:tcPr>
          <w:p w:rsidR="00DD5471" w:rsidRPr="00591362" w:rsidRDefault="00DD5471" w:rsidP="00A76204">
            <w:pPr>
              <w:pStyle w:val="NoSpacing"/>
              <w:rPr>
                <w:sz w:val="20"/>
                <w:szCs w:val="20"/>
                <w:lang w:val="it-CH"/>
              </w:rPr>
            </w:pPr>
            <w:r w:rsidRPr="00591362">
              <w:rPr>
                <w:sz w:val="20"/>
                <w:szCs w:val="20"/>
                <w:lang w:val="it-CH"/>
              </w:rPr>
              <w:t>no unit</w:t>
            </w:r>
          </w:p>
        </w:tc>
      </w:tr>
      <w:tr w:rsidR="00DD5471" w:rsidRPr="00591362" w:rsidTr="00A76204">
        <w:trPr>
          <w:cantSplit/>
        </w:trPr>
        <w:tc>
          <w:tcPr>
            <w:tcW w:w="1203" w:type="pct"/>
            <w:shd w:val="clear" w:color="auto" w:fill="C6D9F1"/>
          </w:tcPr>
          <w:p w:rsidR="00DD5471" w:rsidRPr="00591362" w:rsidRDefault="00DD5471" w:rsidP="00A76204">
            <w:pPr>
              <w:pStyle w:val="NoSpacing"/>
              <w:rPr>
                <w:b/>
                <w:sz w:val="20"/>
                <w:szCs w:val="20"/>
              </w:rPr>
            </w:pPr>
            <w:r w:rsidRPr="00591362">
              <w:rPr>
                <w:b/>
                <w:sz w:val="20"/>
                <w:szCs w:val="20"/>
              </w:rPr>
              <w:t>Description:</w:t>
            </w:r>
          </w:p>
        </w:tc>
        <w:tc>
          <w:tcPr>
            <w:tcW w:w="3797" w:type="pct"/>
            <w:shd w:val="clear" w:color="auto" w:fill="auto"/>
          </w:tcPr>
          <w:p w:rsidR="00DD5471" w:rsidRPr="00591362" w:rsidRDefault="00DD5471" w:rsidP="00A76204">
            <w:pPr>
              <w:pStyle w:val="NoSpacing"/>
              <w:rPr>
                <w:sz w:val="20"/>
                <w:szCs w:val="20"/>
              </w:rPr>
            </w:pPr>
            <w:r w:rsidRPr="00591362">
              <w:rPr>
                <w:sz w:val="20"/>
                <w:szCs w:val="20"/>
                <w:lang w:val="en-US"/>
              </w:rPr>
              <w:t>Global Warming Potential of Black Carbon (total effect incl. direct and Cryosphere effect)</w:t>
            </w:r>
          </w:p>
        </w:tc>
      </w:tr>
      <w:tr w:rsidR="00DD5471" w:rsidRPr="00591362" w:rsidTr="00A76204">
        <w:trPr>
          <w:cantSplit/>
        </w:trPr>
        <w:tc>
          <w:tcPr>
            <w:tcW w:w="1203" w:type="pct"/>
            <w:shd w:val="clear" w:color="auto" w:fill="C6D9F1"/>
          </w:tcPr>
          <w:p w:rsidR="00DD5471" w:rsidRPr="00591362" w:rsidRDefault="00DD5471" w:rsidP="00A76204">
            <w:pPr>
              <w:pStyle w:val="NoSpacing"/>
              <w:rPr>
                <w:b/>
                <w:sz w:val="20"/>
                <w:szCs w:val="20"/>
              </w:rPr>
            </w:pPr>
            <w:r w:rsidRPr="00591362">
              <w:rPr>
                <w:b/>
                <w:sz w:val="20"/>
                <w:szCs w:val="20"/>
              </w:rPr>
              <w:t>Source of data:</w:t>
            </w:r>
          </w:p>
        </w:tc>
        <w:tc>
          <w:tcPr>
            <w:tcW w:w="3797" w:type="pct"/>
            <w:shd w:val="clear" w:color="auto" w:fill="auto"/>
          </w:tcPr>
          <w:p w:rsidR="00DD5471" w:rsidRPr="00591362" w:rsidRDefault="00DD5471" w:rsidP="00A76204">
            <w:pPr>
              <w:pStyle w:val="NoSpacing"/>
              <w:rPr>
                <w:sz w:val="20"/>
                <w:szCs w:val="20"/>
              </w:rPr>
            </w:pPr>
            <w:r w:rsidRPr="00591362">
              <w:rPr>
                <w:sz w:val="20"/>
                <w:szCs w:val="20"/>
                <w:lang w:val="en-US"/>
              </w:rPr>
              <w:t>World Bank, Reducing Black Carbon Emissions from Diesel Vehicles: Impacts, Control Strategies, and Cost-Benefit Analysis, 2014</w:t>
            </w:r>
          </w:p>
        </w:tc>
      </w:tr>
      <w:tr w:rsidR="00DD5471" w:rsidRPr="00591362" w:rsidTr="00A76204">
        <w:trPr>
          <w:cantSplit/>
        </w:trPr>
        <w:tc>
          <w:tcPr>
            <w:tcW w:w="1203" w:type="pct"/>
            <w:shd w:val="clear" w:color="auto" w:fill="C6D9F1"/>
          </w:tcPr>
          <w:p w:rsidR="00DD5471" w:rsidRPr="00591362" w:rsidRDefault="00DD5471" w:rsidP="00A76204">
            <w:pPr>
              <w:pStyle w:val="NoSpacing"/>
              <w:rPr>
                <w:b/>
                <w:sz w:val="20"/>
                <w:szCs w:val="20"/>
              </w:rPr>
            </w:pPr>
            <w:r w:rsidRPr="00591362">
              <w:rPr>
                <w:b/>
                <w:sz w:val="20"/>
                <w:szCs w:val="20"/>
              </w:rPr>
              <w:t>Value(s) applied:</w:t>
            </w:r>
          </w:p>
        </w:tc>
        <w:tc>
          <w:tcPr>
            <w:tcW w:w="3797" w:type="pct"/>
            <w:shd w:val="clear" w:color="auto" w:fill="auto"/>
          </w:tcPr>
          <w:p w:rsidR="00DD5471" w:rsidRPr="00591362" w:rsidRDefault="00DD5471" w:rsidP="00A76204">
            <w:pPr>
              <w:pStyle w:val="NoSpacing"/>
              <w:rPr>
                <w:sz w:val="20"/>
                <w:szCs w:val="20"/>
                <w:lang w:val="en-SG"/>
              </w:rPr>
            </w:pPr>
            <w:r w:rsidRPr="00591362">
              <w:rPr>
                <w:sz w:val="20"/>
                <w:szCs w:val="20"/>
                <w:lang w:val="en-SG"/>
              </w:rPr>
              <w:t>GWP100: 900</w:t>
            </w:r>
          </w:p>
          <w:p w:rsidR="00DD5471" w:rsidRPr="00591362" w:rsidRDefault="00DD5471" w:rsidP="00A76204">
            <w:pPr>
              <w:pStyle w:val="NoSpacing"/>
              <w:rPr>
                <w:sz w:val="20"/>
                <w:szCs w:val="20"/>
                <w:lang w:val="en-SG"/>
              </w:rPr>
            </w:pPr>
            <w:r w:rsidRPr="00591362">
              <w:rPr>
                <w:sz w:val="20"/>
                <w:szCs w:val="20"/>
                <w:lang w:val="en-SG"/>
              </w:rPr>
              <w:t>GWP20: 2,700</w:t>
            </w:r>
          </w:p>
        </w:tc>
      </w:tr>
      <w:tr w:rsidR="00DD5471" w:rsidRPr="00591362" w:rsidTr="00A76204">
        <w:trPr>
          <w:cantSplit/>
        </w:trPr>
        <w:tc>
          <w:tcPr>
            <w:tcW w:w="1203" w:type="pct"/>
            <w:shd w:val="clear" w:color="auto" w:fill="C6D9F1"/>
          </w:tcPr>
          <w:p w:rsidR="00DD5471" w:rsidRPr="00591362" w:rsidRDefault="00DD5471" w:rsidP="00A76204">
            <w:pPr>
              <w:pStyle w:val="NoSpacing"/>
              <w:rPr>
                <w:b/>
                <w:sz w:val="20"/>
                <w:szCs w:val="20"/>
              </w:rPr>
            </w:pPr>
            <w:r w:rsidRPr="00591362">
              <w:rPr>
                <w:b/>
                <w:sz w:val="20"/>
                <w:szCs w:val="20"/>
              </w:rPr>
              <w:t>Comment:</w:t>
            </w:r>
          </w:p>
        </w:tc>
        <w:tc>
          <w:tcPr>
            <w:tcW w:w="3797" w:type="pct"/>
            <w:shd w:val="clear" w:color="auto" w:fill="auto"/>
          </w:tcPr>
          <w:p w:rsidR="00DD5471" w:rsidRPr="00591362" w:rsidRDefault="00DD5471" w:rsidP="00A76204">
            <w:pPr>
              <w:pStyle w:val="NoSpacing"/>
              <w:rPr>
                <w:sz w:val="20"/>
                <w:szCs w:val="20"/>
              </w:rPr>
            </w:pPr>
            <w:r w:rsidRPr="00591362">
              <w:rPr>
                <w:sz w:val="20"/>
                <w:szCs w:val="20"/>
                <w:lang w:val="en-US"/>
              </w:rPr>
              <w:t>Values published range for GWP100 from 450 to 1,110 and for GWP20 from 1,580 to 3,870; average value is used</w:t>
            </w:r>
          </w:p>
        </w:tc>
      </w:tr>
    </w:tbl>
    <w:p w:rsidR="00DD5471" w:rsidRPr="00591362" w:rsidRDefault="00DD5471" w:rsidP="00EF5E0F">
      <w:pPr>
        <w:pStyle w:val="NoSpacing"/>
        <w:rPr>
          <w:sz w:val="20"/>
          <w:szCs w:val="20"/>
        </w:rPr>
      </w:pP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28" w:type="dxa"/>
          <w:bottom w:w="28" w:type="dxa"/>
        </w:tblCellMar>
        <w:tblLook w:val="01E0" w:firstRow="1" w:lastRow="1" w:firstColumn="1" w:lastColumn="1" w:noHBand="0" w:noVBand="0"/>
      </w:tblPr>
      <w:tblGrid>
        <w:gridCol w:w="2164"/>
        <w:gridCol w:w="6832"/>
      </w:tblGrid>
      <w:tr w:rsidR="00EF5E0F" w:rsidRPr="00591362" w:rsidTr="00EF5E0F">
        <w:trPr>
          <w:cantSplit/>
        </w:trPr>
        <w:tc>
          <w:tcPr>
            <w:tcW w:w="1203" w:type="pct"/>
            <w:shd w:val="clear" w:color="auto" w:fill="C6D9F1"/>
            <w:tcMar>
              <w:top w:w="62" w:type="dxa"/>
              <w:bottom w:w="62" w:type="dxa"/>
            </w:tcMar>
          </w:tcPr>
          <w:p w:rsidR="00EF5E0F" w:rsidRPr="00DE6723" w:rsidRDefault="00EF5E0F" w:rsidP="00EF5E0F">
            <w:pPr>
              <w:pStyle w:val="NoSpacing"/>
              <w:rPr>
                <w:b/>
                <w:sz w:val="20"/>
                <w:szCs w:val="20"/>
              </w:rPr>
            </w:pPr>
            <w:r w:rsidRPr="00DE6723">
              <w:rPr>
                <w:b/>
                <w:sz w:val="20"/>
                <w:szCs w:val="20"/>
              </w:rPr>
              <w:t>ID</w:t>
            </w:r>
          </w:p>
        </w:tc>
        <w:tc>
          <w:tcPr>
            <w:tcW w:w="3797" w:type="pct"/>
            <w:shd w:val="clear" w:color="auto" w:fill="auto"/>
            <w:tcMar>
              <w:top w:w="62" w:type="dxa"/>
              <w:bottom w:w="62" w:type="dxa"/>
            </w:tcMar>
          </w:tcPr>
          <w:p w:rsidR="00EF5E0F" w:rsidRPr="00DE6723" w:rsidRDefault="00796377" w:rsidP="00EF5E0F">
            <w:pPr>
              <w:pStyle w:val="NoSpacing"/>
              <w:rPr>
                <w:b/>
                <w:sz w:val="20"/>
                <w:szCs w:val="20"/>
              </w:rPr>
            </w:pPr>
            <w:r>
              <w:rPr>
                <w:b/>
                <w:sz w:val="20"/>
                <w:szCs w:val="20"/>
              </w:rPr>
              <w:t>13</w:t>
            </w:r>
          </w:p>
        </w:tc>
      </w:tr>
      <w:tr w:rsidR="00EF5E0F" w:rsidRPr="00591362" w:rsidTr="00EF5E0F">
        <w:trPr>
          <w:cantSplit/>
        </w:trPr>
        <w:tc>
          <w:tcPr>
            <w:tcW w:w="1203" w:type="pct"/>
            <w:shd w:val="clear" w:color="auto" w:fill="C6D9F1"/>
            <w:tcMar>
              <w:top w:w="62" w:type="dxa"/>
              <w:bottom w:w="62" w:type="dxa"/>
            </w:tcMar>
          </w:tcPr>
          <w:p w:rsidR="00EF5E0F" w:rsidRPr="00591362" w:rsidRDefault="00EF5E0F" w:rsidP="00EF5E0F">
            <w:pPr>
              <w:pStyle w:val="NoSpacing"/>
              <w:rPr>
                <w:b/>
                <w:sz w:val="20"/>
                <w:szCs w:val="20"/>
              </w:rPr>
            </w:pPr>
            <w:r w:rsidRPr="00591362">
              <w:rPr>
                <w:b/>
                <w:sz w:val="20"/>
                <w:szCs w:val="20"/>
              </w:rPr>
              <w:t>Parameter:</w:t>
            </w:r>
          </w:p>
        </w:tc>
        <w:tc>
          <w:tcPr>
            <w:tcW w:w="3797" w:type="pct"/>
            <w:shd w:val="clear" w:color="auto" w:fill="auto"/>
            <w:tcMar>
              <w:top w:w="62" w:type="dxa"/>
              <w:bottom w:w="62" w:type="dxa"/>
            </w:tcMar>
          </w:tcPr>
          <w:p w:rsidR="00EF5E0F" w:rsidRPr="00591362" w:rsidRDefault="00EF5E0F" w:rsidP="00EF5E0F">
            <w:pPr>
              <w:pStyle w:val="NoSpacing"/>
              <w:rPr>
                <w:sz w:val="20"/>
                <w:szCs w:val="20"/>
              </w:rPr>
            </w:pPr>
            <w:r w:rsidRPr="00591362">
              <w:rPr>
                <w:sz w:val="20"/>
                <w:szCs w:val="20"/>
              </w:rPr>
              <w:t>UEF</w:t>
            </w:r>
          </w:p>
        </w:tc>
      </w:tr>
      <w:tr w:rsidR="00EF5E0F" w:rsidRPr="00591362" w:rsidTr="00EF5E0F">
        <w:trPr>
          <w:cantSplit/>
        </w:trPr>
        <w:tc>
          <w:tcPr>
            <w:tcW w:w="1203" w:type="pct"/>
            <w:shd w:val="clear" w:color="auto" w:fill="C6D9F1"/>
          </w:tcPr>
          <w:p w:rsidR="00EF5E0F" w:rsidRPr="00591362" w:rsidRDefault="00EF5E0F" w:rsidP="00EF5E0F">
            <w:pPr>
              <w:pStyle w:val="NoSpacing"/>
              <w:rPr>
                <w:b/>
                <w:sz w:val="20"/>
                <w:szCs w:val="20"/>
              </w:rPr>
            </w:pPr>
            <w:r w:rsidRPr="00591362">
              <w:rPr>
                <w:b/>
                <w:sz w:val="20"/>
                <w:szCs w:val="20"/>
              </w:rPr>
              <w:t>Unit:</w:t>
            </w:r>
          </w:p>
        </w:tc>
        <w:tc>
          <w:tcPr>
            <w:tcW w:w="3797" w:type="pct"/>
            <w:shd w:val="clear" w:color="auto" w:fill="auto"/>
          </w:tcPr>
          <w:p w:rsidR="00EF5E0F" w:rsidRPr="00591362" w:rsidRDefault="00EF5E0F" w:rsidP="00EF5E0F">
            <w:pPr>
              <w:pStyle w:val="NoSpacing"/>
              <w:rPr>
                <w:sz w:val="20"/>
                <w:szCs w:val="20"/>
                <w:lang w:val="it-CH"/>
              </w:rPr>
            </w:pPr>
            <w:r w:rsidRPr="00591362">
              <w:rPr>
                <w:sz w:val="20"/>
                <w:szCs w:val="20"/>
                <w:lang w:val="it-CH"/>
              </w:rPr>
              <w:t>%</w:t>
            </w:r>
          </w:p>
        </w:tc>
      </w:tr>
      <w:tr w:rsidR="00EF5E0F" w:rsidRPr="00591362" w:rsidTr="00EF5E0F">
        <w:trPr>
          <w:cantSplit/>
        </w:trPr>
        <w:tc>
          <w:tcPr>
            <w:tcW w:w="1203" w:type="pct"/>
            <w:shd w:val="clear" w:color="auto" w:fill="C6D9F1"/>
          </w:tcPr>
          <w:p w:rsidR="00EF5E0F" w:rsidRPr="00591362" w:rsidRDefault="00EF5E0F" w:rsidP="00EF5E0F">
            <w:pPr>
              <w:pStyle w:val="NoSpacing"/>
              <w:rPr>
                <w:b/>
                <w:sz w:val="20"/>
                <w:szCs w:val="20"/>
              </w:rPr>
            </w:pPr>
            <w:r w:rsidRPr="00591362">
              <w:rPr>
                <w:b/>
                <w:sz w:val="20"/>
                <w:szCs w:val="20"/>
              </w:rPr>
              <w:t>Description:</w:t>
            </w:r>
          </w:p>
        </w:tc>
        <w:tc>
          <w:tcPr>
            <w:tcW w:w="3797" w:type="pct"/>
            <w:shd w:val="clear" w:color="auto" w:fill="auto"/>
          </w:tcPr>
          <w:p w:rsidR="00EF5E0F" w:rsidRPr="00591362" w:rsidRDefault="00EF5E0F" w:rsidP="00796377">
            <w:pPr>
              <w:pStyle w:val="NoSpacing"/>
              <w:rPr>
                <w:sz w:val="20"/>
                <w:szCs w:val="20"/>
              </w:rPr>
            </w:pPr>
            <w:r w:rsidRPr="00591362">
              <w:rPr>
                <w:sz w:val="20"/>
                <w:szCs w:val="20"/>
                <w:lang w:val="it-CH"/>
              </w:rPr>
              <w:t xml:space="preserve">Upstream </w:t>
            </w:r>
            <w:r w:rsidR="00796377">
              <w:rPr>
                <w:sz w:val="20"/>
                <w:szCs w:val="20"/>
                <w:lang w:val="it-CH"/>
              </w:rPr>
              <w:t xml:space="preserve">mark-up </w:t>
            </w:r>
            <w:r w:rsidRPr="00591362">
              <w:rPr>
                <w:sz w:val="20"/>
                <w:szCs w:val="20"/>
                <w:lang w:val="it-CH"/>
              </w:rPr>
              <w:t>factor of diesel (Well-to-Tank)</w:t>
            </w:r>
          </w:p>
        </w:tc>
      </w:tr>
      <w:tr w:rsidR="00EF5E0F" w:rsidRPr="00591362" w:rsidTr="00EF5E0F">
        <w:trPr>
          <w:cantSplit/>
        </w:trPr>
        <w:tc>
          <w:tcPr>
            <w:tcW w:w="1203" w:type="pct"/>
            <w:shd w:val="clear" w:color="auto" w:fill="C6D9F1"/>
          </w:tcPr>
          <w:p w:rsidR="00EF5E0F" w:rsidRPr="00591362" w:rsidRDefault="00EF5E0F" w:rsidP="00EF5E0F">
            <w:pPr>
              <w:pStyle w:val="NoSpacing"/>
              <w:rPr>
                <w:b/>
                <w:sz w:val="20"/>
                <w:szCs w:val="20"/>
              </w:rPr>
            </w:pPr>
            <w:r w:rsidRPr="00591362">
              <w:rPr>
                <w:b/>
                <w:sz w:val="20"/>
                <w:szCs w:val="20"/>
              </w:rPr>
              <w:t>Source of data:</w:t>
            </w:r>
          </w:p>
        </w:tc>
        <w:tc>
          <w:tcPr>
            <w:tcW w:w="3797" w:type="pct"/>
            <w:shd w:val="clear" w:color="auto" w:fill="auto"/>
          </w:tcPr>
          <w:p w:rsidR="00EF5E0F" w:rsidRPr="00591362" w:rsidRDefault="00EF5E0F" w:rsidP="00EF5E0F">
            <w:pPr>
              <w:pStyle w:val="NoSpacing"/>
              <w:rPr>
                <w:sz w:val="20"/>
                <w:szCs w:val="20"/>
              </w:rPr>
            </w:pPr>
            <w:r w:rsidRPr="00591362">
              <w:rPr>
                <w:bCs/>
                <w:iCs/>
                <w:sz w:val="20"/>
                <w:szCs w:val="20"/>
              </w:rPr>
              <w:t>JRC - Joint Research Centre-EUCAR-CONCAWE collaboration, Well-to-Wheels Analysis of Future Automotive Fuels and Powertrains in the European Context Version 3c, 2011</w:t>
            </w:r>
            <w:r w:rsidRPr="00591362">
              <w:rPr>
                <w:sz w:val="20"/>
                <w:szCs w:val="20"/>
              </w:rPr>
              <w:t xml:space="preserve">; California Energy Commission, Full Fuel Cycle Assessment Well to Tank Energy Inputs, Emissions, and Water Impacts, 2007; LLC, </w:t>
            </w:r>
            <w:r w:rsidRPr="00591362">
              <w:rPr>
                <w:bCs/>
                <w:sz w:val="20"/>
                <w:szCs w:val="20"/>
              </w:rPr>
              <w:t xml:space="preserve">Assessment of Direct and Indirect GHG Emissions Associated with Petroleum Fuels, 2009; </w:t>
            </w:r>
            <w:r w:rsidRPr="00591362">
              <w:rPr>
                <w:sz w:val="20"/>
                <w:szCs w:val="20"/>
              </w:rPr>
              <w:t xml:space="preserve">Nylund et.al, Fuel and Technology Alternatives for Buses, VTT Technology 46, 2012; Natural Resources Canada: NRC, GHGenius model version 4.02, 2013; US DOE, GREET </w:t>
            </w:r>
            <w:r w:rsidRPr="00591362">
              <w:rPr>
                <w:bCs/>
                <w:sz w:val="20"/>
                <w:szCs w:val="20"/>
              </w:rPr>
              <w:t>The Greenhouse Gases, Regulated Emissions, and Energy Use in Transportation Model</w:t>
            </w:r>
            <w:r w:rsidRPr="00591362">
              <w:rPr>
                <w:sz w:val="20"/>
                <w:szCs w:val="20"/>
              </w:rPr>
              <w:t xml:space="preserve"> Version GREET1 2012 rev2</w:t>
            </w:r>
          </w:p>
        </w:tc>
      </w:tr>
      <w:tr w:rsidR="00EF5E0F" w:rsidRPr="00591362" w:rsidTr="00EF5E0F">
        <w:trPr>
          <w:cantSplit/>
        </w:trPr>
        <w:tc>
          <w:tcPr>
            <w:tcW w:w="1203" w:type="pct"/>
            <w:shd w:val="clear" w:color="auto" w:fill="C6D9F1"/>
          </w:tcPr>
          <w:p w:rsidR="00EF5E0F" w:rsidRPr="00591362" w:rsidRDefault="00EF5E0F" w:rsidP="00EF5E0F">
            <w:pPr>
              <w:pStyle w:val="NoSpacing"/>
              <w:rPr>
                <w:b/>
                <w:sz w:val="20"/>
                <w:szCs w:val="20"/>
              </w:rPr>
            </w:pPr>
            <w:r w:rsidRPr="00591362">
              <w:rPr>
                <w:b/>
                <w:sz w:val="20"/>
                <w:szCs w:val="20"/>
              </w:rPr>
              <w:lastRenderedPageBreak/>
              <w:t>Value(s) applied:</w:t>
            </w:r>
          </w:p>
        </w:tc>
        <w:tc>
          <w:tcPr>
            <w:tcW w:w="3797" w:type="pct"/>
            <w:shd w:val="clear" w:color="auto" w:fill="auto"/>
          </w:tcPr>
          <w:p w:rsidR="00EF5E0F" w:rsidRPr="00591362" w:rsidRDefault="00796377" w:rsidP="00EF5E0F">
            <w:pPr>
              <w:pStyle w:val="NoSpacing"/>
              <w:rPr>
                <w:sz w:val="20"/>
                <w:szCs w:val="20"/>
                <w:lang w:val="en-SG"/>
              </w:rPr>
            </w:pPr>
            <w:r>
              <w:rPr>
                <w:sz w:val="20"/>
                <w:szCs w:val="20"/>
                <w:lang w:val="en-SG"/>
              </w:rPr>
              <w:t>25%</w:t>
            </w:r>
          </w:p>
        </w:tc>
      </w:tr>
      <w:tr w:rsidR="00EF5E0F" w:rsidRPr="00591362" w:rsidTr="00EF5E0F">
        <w:trPr>
          <w:cantSplit/>
        </w:trPr>
        <w:tc>
          <w:tcPr>
            <w:tcW w:w="1203" w:type="pct"/>
            <w:shd w:val="clear" w:color="auto" w:fill="C6D9F1"/>
          </w:tcPr>
          <w:p w:rsidR="00EF5E0F" w:rsidRPr="00591362" w:rsidRDefault="00EF5E0F" w:rsidP="00EF5E0F">
            <w:pPr>
              <w:pStyle w:val="NoSpacing"/>
              <w:rPr>
                <w:b/>
                <w:sz w:val="20"/>
                <w:szCs w:val="20"/>
              </w:rPr>
            </w:pPr>
            <w:r w:rsidRPr="00591362">
              <w:rPr>
                <w:b/>
                <w:sz w:val="20"/>
                <w:szCs w:val="20"/>
              </w:rPr>
              <w:t>Comment:</w:t>
            </w:r>
          </w:p>
        </w:tc>
        <w:tc>
          <w:tcPr>
            <w:tcW w:w="3797" w:type="pct"/>
            <w:shd w:val="clear" w:color="auto" w:fill="auto"/>
          </w:tcPr>
          <w:p w:rsidR="00EF5E0F" w:rsidRPr="00591362" w:rsidRDefault="00796377" w:rsidP="00EF5E0F">
            <w:pPr>
              <w:pStyle w:val="NoSpacing"/>
              <w:rPr>
                <w:sz w:val="20"/>
                <w:szCs w:val="20"/>
              </w:rPr>
            </w:pPr>
            <w:r>
              <w:rPr>
                <w:sz w:val="20"/>
                <w:szCs w:val="20"/>
                <w:lang w:val="en-SG"/>
              </w:rPr>
              <w:t xml:space="preserve">Average </w:t>
            </w:r>
            <w:r w:rsidR="00EF5E0F" w:rsidRPr="00591362">
              <w:rPr>
                <w:sz w:val="20"/>
                <w:szCs w:val="20"/>
                <w:lang w:val="en-SG"/>
              </w:rPr>
              <w:t>value of cited studies was taken</w:t>
            </w:r>
          </w:p>
        </w:tc>
      </w:tr>
    </w:tbl>
    <w:p w:rsidR="00EF5E0F" w:rsidRPr="00591362" w:rsidRDefault="00EF5E0F" w:rsidP="00EF5E0F">
      <w:pPr>
        <w:pStyle w:val="NoSpacing"/>
        <w:rPr>
          <w:sz w:val="20"/>
          <w:szCs w:val="20"/>
        </w:rPr>
      </w:pP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28" w:type="dxa"/>
          <w:bottom w:w="28" w:type="dxa"/>
        </w:tblCellMar>
        <w:tblLook w:val="01E0" w:firstRow="1" w:lastRow="1" w:firstColumn="1" w:lastColumn="1" w:noHBand="0" w:noVBand="0"/>
      </w:tblPr>
      <w:tblGrid>
        <w:gridCol w:w="2164"/>
        <w:gridCol w:w="6832"/>
      </w:tblGrid>
      <w:tr w:rsidR="00EF5E0F" w:rsidRPr="00591362" w:rsidTr="00EF5E0F">
        <w:trPr>
          <w:cantSplit/>
        </w:trPr>
        <w:tc>
          <w:tcPr>
            <w:tcW w:w="1203" w:type="pct"/>
            <w:shd w:val="clear" w:color="auto" w:fill="C6D9F1"/>
            <w:tcMar>
              <w:top w:w="62" w:type="dxa"/>
              <w:bottom w:w="62" w:type="dxa"/>
            </w:tcMar>
          </w:tcPr>
          <w:p w:rsidR="00EF5E0F" w:rsidRPr="00591362" w:rsidRDefault="00EF5E0F" w:rsidP="00EF5E0F">
            <w:pPr>
              <w:pStyle w:val="NoSpacing"/>
              <w:rPr>
                <w:b/>
                <w:sz w:val="20"/>
                <w:szCs w:val="20"/>
              </w:rPr>
            </w:pPr>
            <w:r w:rsidRPr="00591362">
              <w:rPr>
                <w:b/>
                <w:sz w:val="20"/>
                <w:szCs w:val="20"/>
              </w:rPr>
              <w:t>ID</w:t>
            </w:r>
          </w:p>
        </w:tc>
        <w:tc>
          <w:tcPr>
            <w:tcW w:w="3797" w:type="pct"/>
          </w:tcPr>
          <w:p w:rsidR="00EF5E0F" w:rsidRPr="00DE6723" w:rsidRDefault="00796377" w:rsidP="00EF5E0F">
            <w:pPr>
              <w:pStyle w:val="NoSpacing"/>
              <w:rPr>
                <w:b/>
                <w:sz w:val="20"/>
                <w:szCs w:val="20"/>
              </w:rPr>
            </w:pPr>
            <w:r>
              <w:rPr>
                <w:b/>
                <w:sz w:val="20"/>
                <w:szCs w:val="20"/>
              </w:rPr>
              <w:t>14</w:t>
            </w:r>
          </w:p>
        </w:tc>
      </w:tr>
      <w:tr w:rsidR="00EF5E0F" w:rsidRPr="00591362" w:rsidTr="00EF5E0F">
        <w:trPr>
          <w:cantSplit/>
        </w:trPr>
        <w:tc>
          <w:tcPr>
            <w:tcW w:w="1203" w:type="pct"/>
            <w:shd w:val="clear" w:color="auto" w:fill="C6D9F1"/>
            <w:tcMar>
              <w:top w:w="62" w:type="dxa"/>
              <w:bottom w:w="62" w:type="dxa"/>
            </w:tcMar>
          </w:tcPr>
          <w:p w:rsidR="00EF5E0F" w:rsidRPr="00591362" w:rsidRDefault="00EF5E0F" w:rsidP="00EF5E0F">
            <w:pPr>
              <w:pStyle w:val="NoSpacing"/>
              <w:rPr>
                <w:b/>
                <w:sz w:val="20"/>
                <w:szCs w:val="20"/>
              </w:rPr>
            </w:pPr>
            <w:r w:rsidRPr="00591362">
              <w:rPr>
                <w:b/>
                <w:sz w:val="20"/>
                <w:szCs w:val="20"/>
              </w:rPr>
              <w:t>Parameter:</w:t>
            </w:r>
          </w:p>
        </w:tc>
        <w:tc>
          <w:tcPr>
            <w:tcW w:w="3797" w:type="pct"/>
          </w:tcPr>
          <w:p w:rsidR="00EF5E0F" w:rsidRPr="00591362" w:rsidRDefault="00796377" w:rsidP="00EF5E0F">
            <w:pPr>
              <w:pStyle w:val="NoSpacing"/>
              <w:rPr>
                <w:sz w:val="20"/>
                <w:szCs w:val="20"/>
              </w:rPr>
            </w:pPr>
            <w:r>
              <w:rPr>
                <w:sz w:val="20"/>
                <w:szCs w:val="20"/>
              </w:rPr>
              <w:t>Road Fatalities perk bus-km and per truck-km</w:t>
            </w:r>
          </w:p>
        </w:tc>
      </w:tr>
      <w:tr w:rsidR="00EF5E0F" w:rsidRPr="00591362" w:rsidTr="00EF5E0F">
        <w:trPr>
          <w:cantSplit/>
        </w:trPr>
        <w:tc>
          <w:tcPr>
            <w:tcW w:w="1203" w:type="pct"/>
            <w:shd w:val="clear" w:color="auto" w:fill="C6D9F1"/>
          </w:tcPr>
          <w:p w:rsidR="00EF5E0F" w:rsidRPr="00591362" w:rsidRDefault="00EF5E0F" w:rsidP="00EF5E0F">
            <w:pPr>
              <w:pStyle w:val="NoSpacing"/>
              <w:rPr>
                <w:b/>
                <w:sz w:val="20"/>
                <w:szCs w:val="20"/>
              </w:rPr>
            </w:pPr>
            <w:r w:rsidRPr="00591362">
              <w:rPr>
                <w:b/>
                <w:sz w:val="20"/>
                <w:szCs w:val="20"/>
              </w:rPr>
              <w:t>Unit:</w:t>
            </w:r>
          </w:p>
        </w:tc>
        <w:tc>
          <w:tcPr>
            <w:tcW w:w="3797" w:type="pct"/>
          </w:tcPr>
          <w:p w:rsidR="00EF5E0F" w:rsidRPr="00591362" w:rsidRDefault="00796377" w:rsidP="00EF5E0F">
            <w:pPr>
              <w:pStyle w:val="NoSpacing"/>
              <w:rPr>
                <w:sz w:val="20"/>
                <w:szCs w:val="20"/>
                <w:lang w:val="it-CH"/>
              </w:rPr>
            </w:pPr>
            <w:r>
              <w:rPr>
                <w:sz w:val="20"/>
                <w:szCs w:val="20"/>
                <w:lang w:val="it-CH"/>
              </w:rPr>
              <w:t>Persons</w:t>
            </w:r>
          </w:p>
        </w:tc>
      </w:tr>
      <w:tr w:rsidR="00EF5E0F" w:rsidRPr="00591362" w:rsidTr="00EF5E0F">
        <w:trPr>
          <w:cantSplit/>
        </w:trPr>
        <w:tc>
          <w:tcPr>
            <w:tcW w:w="1203" w:type="pct"/>
            <w:shd w:val="clear" w:color="auto" w:fill="C6D9F1"/>
          </w:tcPr>
          <w:p w:rsidR="00EF5E0F" w:rsidRPr="00591362" w:rsidRDefault="00EF5E0F" w:rsidP="00EF5E0F">
            <w:pPr>
              <w:pStyle w:val="NoSpacing"/>
              <w:rPr>
                <w:b/>
                <w:sz w:val="20"/>
                <w:szCs w:val="20"/>
              </w:rPr>
            </w:pPr>
            <w:r w:rsidRPr="00591362">
              <w:rPr>
                <w:b/>
                <w:sz w:val="20"/>
                <w:szCs w:val="20"/>
              </w:rPr>
              <w:t>Description:</w:t>
            </w:r>
          </w:p>
        </w:tc>
        <w:tc>
          <w:tcPr>
            <w:tcW w:w="3797" w:type="pct"/>
          </w:tcPr>
          <w:p w:rsidR="00EF5E0F" w:rsidRPr="00796377" w:rsidRDefault="00796377" w:rsidP="00EF5E0F">
            <w:pPr>
              <w:pStyle w:val="NoSpacing"/>
              <w:rPr>
                <w:sz w:val="20"/>
                <w:szCs w:val="20"/>
              </w:rPr>
            </w:pPr>
            <w:r>
              <w:rPr>
                <w:sz w:val="20"/>
                <w:szCs w:val="20"/>
              </w:rPr>
              <w:t>Road Fatalities perk bus-km and per truck-km</w:t>
            </w:r>
          </w:p>
        </w:tc>
      </w:tr>
      <w:tr w:rsidR="00EF5E0F" w:rsidRPr="00591362" w:rsidTr="00EF5E0F">
        <w:trPr>
          <w:cantSplit/>
        </w:trPr>
        <w:tc>
          <w:tcPr>
            <w:tcW w:w="1203" w:type="pct"/>
            <w:shd w:val="clear" w:color="auto" w:fill="C6D9F1"/>
          </w:tcPr>
          <w:p w:rsidR="00EF5E0F" w:rsidRPr="00591362" w:rsidRDefault="00EF5E0F" w:rsidP="00EF5E0F">
            <w:pPr>
              <w:pStyle w:val="NoSpacing"/>
              <w:rPr>
                <w:b/>
                <w:sz w:val="20"/>
                <w:szCs w:val="20"/>
              </w:rPr>
            </w:pPr>
            <w:r w:rsidRPr="00591362">
              <w:rPr>
                <w:b/>
                <w:sz w:val="20"/>
                <w:szCs w:val="20"/>
              </w:rPr>
              <w:t>Source of data:</w:t>
            </w:r>
          </w:p>
        </w:tc>
        <w:tc>
          <w:tcPr>
            <w:tcW w:w="3797" w:type="pct"/>
          </w:tcPr>
          <w:p w:rsidR="00EF5E0F" w:rsidRPr="00591362" w:rsidRDefault="00796377" w:rsidP="00EF5E0F">
            <w:pPr>
              <w:pStyle w:val="NoSpacing"/>
              <w:rPr>
                <w:sz w:val="20"/>
                <w:szCs w:val="20"/>
              </w:rPr>
            </w:pPr>
            <w:r>
              <w:rPr>
                <w:sz w:val="20"/>
                <w:szCs w:val="20"/>
              </w:rPr>
              <w:t>BRTA</w:t>
            </w:r>
          </w:p>
        </w:tc>
      </w:tr>
      <w:tr w:rsidR="00EF5E0F" w:rsidRPr="00591362" w:rsidTr="00EF5E0F">
        <w:trPr>
          <w:cantSplit/>
        </w:trPr>
        <w:tc>
          <w:tcPr>
            <w:tcW w:w="1203" w:type="pct"/>
            <w:shd w:val="clear" w:color="auto" w:fill="C6D9F1"/>
          </w:tcPr>
          <w:p w:rsidR="00EF5E0F" w:rsidRPr="00591362" w:rsidRDefault="00EF5E0F" w:rsidP="00EF5E0F">
            <w:pPr>
              <w:pStyle w:val="NoSpacing"/>
              <w:rPr>
                <w:b/>
                <w:sz w:val="20"/>
                <w:szCs w:val="20"/>
              </w:rPr>
            </w:pPr>
            <w:r w:rsidRPr="00591362">
              <w:rPr>
                <w:b/>
                <w:sz w:val="20"/>
                <w:szCs w:val="20"/>
              </w:rPr>
              <w:t>Value(s) applied:</w:t>
            </w:r>
          </w:p>
        </w:tc>
        <w:tc>
          <w:tcPr>
            <w:tcW w:w="3797" w:type="pct"/>
          </w:tcPr>
          <w:p w:rsidR="00EF5E0F" w:rsidRDefault="00796377" w:rsidP="00EF5E0F">
            <w:pPr>
              <w:pStyle w:val="NoSpacing"/>
              <w:rPr>
                <w:sz w:val="20"/>
                <w:szCs w:val="20"/>
              </w:rPr>
            </w:pPr>
            <w:r>
              <w:rPr>
                <w:sz w:val="20"/>
                <w:szCs w:val="20"/>
              </w:rPr>
              <w:t xml:space="preserve">Bus: </w:t>
            </w:r>
            <w:r w:rsidR="001A7E26">
              <w:rPr>
                <w:sz w:val="20"/>
                <w:szCs w:val="20"/>
              </w:rPr>
              <w:t>0.20</w:t>
            </w:r>
            <w:r>
              <w:rPr>
                <w:sz w:val="20"/>
                <w:szCs w:val="20"/>
              </w:rPr>
              <w:t xml:space="preserve"> fatalities per million km</w:t>
            </w:r>
          </w:p>
          <w:p w:rsidR="00796377" w:rsidRPr="00591362" w:rsidRDefault="00796377" w:rsidP="00EF5E0F">
            <w:pPr>
              <w:pStyle w:val="NoSpacing"/>
              <w:rPr>
                <w:sz w:val="20"/>
                <w:szCs w:val="20"/>
              </w:rPr>
            </w:pPr>
            <w:r>
              <w:rPr>
                <w:sz w:val="20"/>
                <w:szCs w:val="20"/>
              </w:rPr>
              <w:t xml:space="preserve">Truck: </w:t>
            </w:r>
            <w:r w:rsidR="001A7E26">
              <w:rPr>
                <w:sz w:val="20"/>
                <w:szCs w:val="20"/>
              </w:rPr>
              <w:t>0.10</w:t>
            </w:r>
            <w:r>
              <w:rPr>
                <w:sz w:val="20"/>
                <w:szCs w:val="20"/>
              </w:rPr>
              <w:t xml:space="preserve"> fatalities per million km</w:t>
            </w:r>
          </w:p>
        </w:tc>
      </w:tr>
      <w:tr w:rsidR="00EF5E0F" w:rsidRPr="00591362" w:rsidTr="00EF5E0F">
        <w:trPr>
          <w:cantSplit/>
        </w:trPr>
        <w:tc>
          <w:tcPr>
            <w:tcW w:w="1203" w:type="pct"/>
            <w:shd w:val="clear" w:color="auto" w:fill="C6D9F1"/>
          </w:tcPr>
          <w:p w:rsidR="00EF5E0F" w:rsidRPr="00591362" w:rsidRDefault="00EF5E0F" w:rsidP="00EF5E0F">
            <w:pPr>
              <w:pStyle w:val="NoSpacing"/>
              <w:rPr>
                <w:b/>
                <w:sz w:val="20"/>
                <w:szCs w:val="20"/>
              </w:rPr>
            </w:pPr>
            <w:r w:rsidRPr="00591362">
              <w:rPr>
                <w:b/>
                <w:sz w:val="20"/>
                <w:szCs w:val="20"/>
              </w:rPr>
              <w:t>Comment:</w:t>
            </w:r>
          </w:p>
        </w:tc>
        <w:tc>
          <w:tcPr>
            <w:tcW w:w="3797" w:type="pct"/>
          </w:tcPr>
          <w:p w:rsidR="00EF5E0F" w:rsidRPr="00591362" w:rsidRDefault="00796377" w:rsidP="00796377">
            <w:pPr>
              <w:pStyle w:val="NoSpacing"/>
              <w:rPr>
                <w:sz w:val="20"/>
                <w:szCs w:val="20"/>
              </w:rPr>
            </w:pPr>
            <w:r>
              <w:rPr>
                <w:sz w:val="20"/>
                <w:szCs w:val="20"/>
              </w:rPr>
              <w:t>BRTA reports number of fatalities. The share of buses and trucks in accidents (involving single and multiple vehicles) is used to determine the participation of trucks and buses in fatal accidents (2008 this was 26% of buses and 24% of trucks). The number of fatalities are assigned to buses and trucks based on this share. The number of registered vehicles with an annual average distance driven of 80,000km is taken to determine the road vehicle accident rate per km for buses and for trucks.</w:t>
            </w:r>
          </w:p>
        </w:tc>
      </w:tr>
    </w:tbl>
    <w:p w:rsidR="00796377" w:rsidRDefault="00796377" w:rsidP="00EF5E0F">
      <w:pPr>
        <w:pStyle w:val="Heading2"/>
      </w:pP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28" w:type="dxa"/>
          <w:bottom w:w="28" w:type="dxa"/>
        </w:tblCellMar>
        <w:tblLook w:val="01E0" w:firstRow="1" w:lastRow="1" w:firstColumn="1" w:lastColumn="1" w:noHBand="0" w:noVBand="0"/>
      </w:tblPr>
      <w:tblGrid>
        <w:gridCol w:w="2164"/>
        <w:gridCol w:w="6832"/>
      </w:tblGrid>
      <w:tr w:rsidR="00796377" w:rsidRPr="00DE6723" w:rsidTr="00A76204">
        <w:trPr>
          <w:cantSplit/>
        </w:trPr>
        <w:tc>
          <w:tcPr>
            <w:tcW w:w="1203" w:type="pct"/>
            <w:shd w:val="clear" w:color="auto" w:fill="C6D9F1"/>
            <w:tcMar>
              <w:top w:w="62" w:type="dxa"/>
              <w:bottom w:w="62" w:type="dxa"/>
            </w:tcMar>
          </w:tcPr>
          <w:p w:rsidR="00796377" w:rsidRPr="00591362" w:rsidRDefault="00796377" w:rsidP="00A76204">
            <w:pPr>
              <w:pStyle w:val="NoSpacing"/>
              <w:rPr>
                <w:b/>
                <w:sz w:val="20"/>
                <w:szCs w:val="20"/>
              </w:rPr>
            </w:pPr>
            <w:r w:rsidRPr="00591362">
              <w:rPr>
                <w:b/>
                <w:sz w:val="20"/>
                <w:szCs w:val="20"/>
              </w:rPr>
              <w:t>ID</w:t>
            </w:r>
          </w:p>
        </w:tc>
        <w:tc>
          <w:tcPr>
            <w:tcW w:w="3797" w:type="pct"/>
          </w:tcPr>
          <w:p w:rsidR="00796377" w:rsidRPr="00DE6723" w:rsidRDefault="00796377" w:rsidP="00A76204">
            <w:pPr>
              <w:pStyle w:val="NoSpacing"/>
              <w:rPr>
                <w:b/>
                <w:sz w:val="20"/>
                <w:szCs w:val="20"/>
              </w:rPr>
            </w:pPr>
            <w:r>
              <w:rPr>
                <w:b/>
                <w:sz w:val="20"/>
                <w:szCs w:val="20"/>
              </w:rPr>
              <w:t>15</w:t>
            </w:r>
          </w:p>
        </w:tc>
      </w:tr>
      <w:tr w:rsidR="00796377" w:rsidRPr="00591362" w:rsidTr="00A76204">
        <w:trPr>
          <w:cantSplit/>
        </w:trPr>
        <w:tc>
          <w:tcPr>
            <w:tcW w:w="1203" w:type="pct"/>
            <w:shd w:val="clear" w:color="auto" w:fill="C6D9F1"/>
            <w:tcMar>
              <w:top w:w="62" w:type="dxa"/>
              <w:bottom w:w="62" w:type="dxa"/>
            </w:tcMar>
          </w:tcPr>
          <w:p w:rsidR="00796377" w:rsidRPr="00591362" w:rsidRDefault="00796377" w:rsidP="00A76204">
            <w:pPr>
              <w:pStyle w:val="NoSpacing"/>
              <w:rPr>
                <w:b/>
                <w:sz w:val="20"/>
                <w:szCs w:val="20"/>
              </w:rPr>
            </w:pPr>
            <w:r w:rsidRPr="00591362">
              <w:rPr>
                <w:b/>
                <w:sz w:val="20"/>
                <w:szCs w:val="20"/>
              </w:rPr>
              <w:t>Parameter:</w:t>
            </w:r>
          </w:p>
        </w:tc>
        <w:tc>
          <w:tcPr>
            <w:tcW w:w="3797" w:type="pct"/>
          </w:tcPr>
          <w:p w:rsidR="00796377" w:rsidRPr="00591362" w:rsidRDefault="007A592A" w:rsidP="00A76204">
            <w:pPr>
              <w:pStyle w:val="NoSpacing"/>
              <w:rPr>
                <w:sz w:val="20"/>
                <w:szCs w:val="20"/>
              </w:rPr>
            </w:pPr>
            <w:r>
              <w:rPr>
                <w:sz w:val="20"/>
                <w:szCs w:val="20"/>
              </w:rPr>
              <w:t>External costs</w:t>
            </w:r>
          </w:p>
        </w:tc>
      </w:tr>
      <w:tr w:rsidR="00796377" w:rsidRPr="00591362" w:rsidTr="00A76204">
        <w:trPr>
          <w:cantSplit/>
        </w:trPr>
        <w:tc>
          <w:tcPr>
            <w:tcW w:w="1203" w:type="pct"/>
            <w:shd w:val="clear" w:color="auto" w:fill="C6D9F1"/>
          </w:tcPr>
          <w:p w:rsidR="00796377" w:rsidRPr="00591362" w:rsidRDefault="00796377" w:rsidP="00A76204">
            <w:pPr>
              <w:pStyle w:val="NoSpacing"/>
              <w:rPr>
                <w:b/>
                <w:sz w:val="20"/>
                <w:szCs w:val="20"/>
              </w:rPr>
            </w:pPr>
            <w:r w:rsidRPr="00591362">
              <w:rPr>
                <w:b/>
                <w:sz w:val="20"/>
                <w:szCs w:val="20"/>
              </w:rPr>
              <w:t>Unit:</w:t>
            </w:r>
          </w:p>
        </w:tc>
        <w:tc>
          <w:tcPr>
            <w:tcW w:w="3797" w:type="pct"/>
          </w:tcPr>
          <w:p w:rsidR="00796377" w:rsidRPr="00591362" w:rsidRDefault="007A592A" w:rsidP="00A76204">
            <w:pPr>
              <w:pStyle w:val="NoSpacing"/>
              <w:rPr>
                <w:sz w:val="20"/>
                <w:szCs w:val="20"/>
                <w:lang w:val="it-CH"/>
              </w:rPr>
            </w:pPr>
            <w:r>
              <w:rPr>
                <w:sz w:val="20"/>
                <w:szCs w:val="20"/>
                <w:lang w:val="it-CH"/>
              </w:rPr>
              <w:t>USD</w:t>
            </w:r>
          </w:p>
        </w:tc>
      </w:tr>
      <w:tr w:rsidR="00796377" w:rsidRPr="00796377" w:rsidTr="00A76204">
        <w:trPr>
          <w:cantSplit/>
        </w:trPr>
        <w:tc>
          <w:tcPr>
            <w:tcW w:w="1203" w:type="pct"/>
            <w:shd w:val="clear" w:color="auto" w:fill="C6D9F1"/>
          </w:tcPr>
          <w:p w:rsidR="00796377" w:rsidRPr="00591362" w:rsidRDefault="00796377" w:rsidP="00A76204">
            <w:pPr>
              <w:pStyle w:val="NoSpacing"/>
              <w:rPr>
                <w:b/>
                <w:sz w:val="20"/>
                <w:szCs w:val="20"/>
              </w:rPr>
            </w:pPr>
            <w:r w:rsidRPr="00591362">
              <w:rPr>
                <w:b/>
                <w:sz w:val="20"/>
                <w:szCs w:val="20"/>
              </w:rPr>
              <w:t>Description:</w:t>
            </w:r>
          </w:p>
        </w:tc>
        <w:tc>
          <w:tcPr>
            <w:tcW w:w="3797" w:type="pct"/>
          </w:tcPr>
          <w:p w:rsidR="00796377" w:rsidRPr="00796377" w:rsidRDefault="007A592A" w:rsidP="00A76204">
            <w:pPr>
              <w:pStyle w:val="NoSpacing"/>
              <w:rPr>
                <w:sz w:val="20"/>
                <w:szCs w:val="20"/>
              </w:rPr>
            </w:pPr>
            <w:r>
              <w:rPr>
                <w:sz w:val="20"/>
                <w:szCs w:val="20"/>
              </w:rPr>
              <w:t>External costs of air pollution and traffic accidents</w:t>
            </w:r>
          </w:p>
        </w:tc>
      </w:tr>
      <w:tr w:rsidR="00796377" w:rsidRPr="00591362" w:rsidTr="00A76204">
        <w:trPr>
          <w:cantSplit/>
        </w:trPr>
        <w:tc>
          <w:tcPr>
            <w:tcW w:w="1203" w:type="pct"/>
            <w:shd w:val="clear" w:color="auto" w:fill="C6D9F1"/>
          </w:tcPr>
          <w:p w:rsidR="00796377" w:rsidRPr="00591362" w:rsidRDefault="00796377" w:rsidP="00A76204">
            <w:pPr>
              <w:pStyle w:val="NoSpacing"/>
              <w:rPr>
                <w:b/>
                <w:sz w:val="20"/>
                <w:szCs w:val="20"/>
              </w:rPr>
            </w:pPr>
            <w:r w:rsidRPr="00591362">
              <w:rPr>
                <w:b/>
                <w:sz w:val="20"/>
                <w:szCs w:val="20"/>
              </w:rPr>
              <w:t>Source of data:</w:t>
            </w:r>
          </w:p>
        </w:tc>
        <w:tc>
          <w:tcPr>
            <w:tcW w:w="3797" w:type="pct"/>
          </w:tcPr>
          <w:p w:rsidR="00796377" w:rsidRPr="00591362" w:rsidRDefault="007A592A" w:rsidP="00A76204">
            <w:pPr>
              <w:pStyle w:val="NoSpacing"/>
              <w:rPr>
                <w:sz w:val="20"/>
                <w:szCs w:val="20"/>
              </w:rPr>
            </w:pPr>
            <w:r>
              <w:rPr>
                <w:sz w:val="20"/>
                <w:szCs w:val="20"/>
              </w:rPr>
              <w:t>International literature; base case IM, Getting Prices Right, 2013</w:t>
            </w:r>
          </w:p>
        </w:tc>
      </w:tr>
      <w:tr w:rsidR="00796377" w:rsidRPr="00100058" w:rsidTr="00A76204">
        <w:trPr>
          <w:cantSplit/>
        </w:trPr>
        <w:tc>
          <w:tcPr>
            <w:tcW w:w="1203" w:type="pct"/>
            <w:shd w:val="clear" w:color="auto" w:fill="C6D9F1"/>
          </w:tcPr>
          <w:p w:rsidR="00796377" w:rsidRPr="00591362" w:rsidRDefault="00796377" w:rsidP="00A76204">
            <w:pPr>
              <w:pStyle w:val="NoSpacing"/>
              <w:rPr>
                <w:b/>
                <w:sz w:val="20"/>
                <w:szCs w:val="20"/>
              </w:rPr>
            </w:pPr>
            <w:r w:rsidRPr="00591362">
              <w:rPr>
                <w:b/>
                <w:sz w:val="20"/>
                <w:szCs w:val="20"/>
              </w:rPr>
              <w:t>Value(s) applied:</w:t>
            </w:r>
          </w:p>
        </w:tc>
        <w:tc>
          <w:tcPr>
            <w:tcW w:w="3797" w:type="pct"/>
          </w:tcPr>
          <w:p w:rsidR="00796377" w:rsidRDefault="007A592A" w:rsidP="00A76204">
            <w:pPr>
              <w:pStyle w:val="NoSpacing"/>
              <w:rPr>
                <w:sz w:val="20"/>
                <w:szCs w:val="20"/>
              </w:rPr>
            </w:pPr>
            <w:r>
              <w:rPr>
                <w:sz w:val="20"/>
                <w:szCs w:val="20"/>
              </w:rPr>
              <w:t>PM: 51,900 USD/t of 2015 USD</w:t>
            </w:r>
          </w:p>
          <w:p w:rsidR="007A592A" w:rsidRDefault="007A592A" w:rsidP="00A76204">
            <w:pPr>
              <w:pStyle w:val="NoSpacing"/>
              <w:rPr>
                <w:sz w:val="20"/>
                <w:szCs w:val="20"/>
              </w:rPr>
            </w:pPr>
            <w:r>
              <w:rPr>
                <w:sz w:val="20"/>
                <w:szCs w:val="20"/>
              </w:rPr>
              <w:t>NO</w:t>
            </w:r>
            <w:r w:rsidRPr="007A592A">
              <w:rPr>
                <w:sz w:val="20"/>
                <w:szCs w:val="20"/>
                <w:vertAlign w:val="subscript"/>
              </w:rPr>
              <w:t>x</w:t>
            </w:r>
            <w:r>
              <w:rPr>
                <w:sz w:val="20"/>
                <w:szCs w:val="20"/>
              </w:rPr>
              <w:t>: 370 USD/t of 2015 USD</w:t>
            </w:r>
          </w:p>
          <w:p w:rsidR="007A592A" w:rsidRPr="007A592A" w:rsidRDefault="007A592A" w:rsidP="00A76204">
            <w:pPr>
              <w:pStyle w:val="NoSpacing"/>
              <w:rPr>
                <w:sz w:val="20"/>
                <w:szCs w:val="20"/>
                <w:lang w:val="de-DE"/>
              </w:rPr>
            </w:pPr>
            <w:r w:rsidRPr="007A592A">
              <w:rPr>
                <w:sz w:val="20"/>
                <w:szCs w:val="20"/>
                <w:lang w:val="de-DE"/>
              </w:rPr>
              <w:t>Accident: 0.13 USD/liter diesel USD 2015</w:t>
            </w:r>
          </w:p>
        </w:tc>
      </w:tr>
      <w:tr w:rsidR="00796377" w:rsidRPr="00591362" w:rsidTr="00A76204">
        <w:trPr>
          <w:cantSplit/>
        </w:trPr>
        <w:tc>
          <w:tcPr>
            <w:tcW w:w="1203" w:type="pct"/>
            <w:shd w:val="clear" w:color="auto" w:fill="C6D9F1"/>
          </w:tcPr>
          <w:p w:rsidR="00796377" w:rsidRPr="00591362" w:rsidRDefault="00796377" w:rsidP="00A76204">
            <w:pPr>
              <w:pStyle w:val="NoSpacing"/>
              <w:rPr>
                <w:b/>
                <w:sz w:val="20"/>
                <w:szCs w:val="20"/>
              </w:rPr>
            </w:pPr>
            <w:r w:rsidRPr="00591362">
              <w:rPr>
                <w:b/>
                <w:sz w:val="20"/>
                <w:szCs w:val="20"/>
              </w:rPr>
              <w:t>Comment:</w:t>
            </w:r>
          </w:p>
        </w:tc>
        <w:tc>
          <w:tcPr>
            <w:tcW w:w="3797" w:type="pct"/>
          </w:tcPr>
          <w:p w:rsidR="00796377" w:rsidRDefault="007A592A" w:rsidP="00A76204">
            <w:pPr>
              <w:pStyle w:val="NoSpacing"/>
              <w:rPr>
                <w:sz w:val="20"/>
                <w:szCs w:val="20"/>
              </w:rPr>
            </w:pPr>
            <w:r>
              <w:rPr>
                <w:sz w:val="20"/>
                <w:szCs w:val="20"/>
              </w:rPr>
              <w:t>Values are specific for Bangladesh but in the calculation process often defaults were applied</w:t>
            </w:r>
            <w:r w:rsidR="00796377">
              <w:rPr>
                <w:sz w:val="20"/>
                <w:szCs w:val="20"/>
              </w:rPr>
              <w:t>.</w:t>
            </w:r>
          </w:p>
          <w:p w:rsidR="007A592A" w:rsidRPr="00591362" w:rsidRDefault="007A592A" w:rsidP="00A76204">
            <w:pPr>
              <w:pStyle w:val="NoSpacing"/>
              <w:rPr>
                <w:sz w:val="20"/>
                <w:szCs w:val="20"/>
              </w:rPr>
            </w:pPr>
            <w:r>
              <w:rPr>
                <w:sz w:val="20"/>
                <w:szCs w:val="20"/>
              </w:rPr>
              <w:t>The diesel savings calculated based on pkm buses and tkm trucks is applied.</w:t>
            </w:r>
          </w:p>
        </w:tc>
      </w:tr>
    </w:tbl>
    <w:p w:rsidR="00813BB5" w:rsidRDefault="00813BB5" w:rsidP="00EF5E0F">
      <w:pPr>
        <w:pStyle w:val="Heading2"/>
      </w:pPr>
      <w:r>
        <w:br/>
      </w:r>
    </w:p>
    <w:p w:rsidR="00E83DA6" w:rsidRDefault="00813BB5" w:rsidP="00813BB5">
      <w:pPr>
        <w:pStyle w:val="Heading1"/>
      </w:pPr>
      <w:r>
        <w:br w:type="column"/>
      </w:r>
      <w:bookmarkStart w:id="57" w:name="_Toc466207383"/>
      <w:r w:rsidR="00E83DA6">
        <w:lastRenderedPageBreak/>
        <w:t>Annex 3: Stakeholder Assessment</w:t>
      </w:r>
      <w:bookmarkEnd w:id="57"/>
    </w:p>
    <w:p w:rsidR="00E83DA6" w:rsidRPr="00E83DA6" w:rsidRDefault="00E83DA6" w:rsidP="00E83DA6"/>
    <w:p w:rsidR="00E83DA6" w:rsidRPr="00E83DA6" w:rsidRDefault="00E83DA6" w:rsidP="00E83DA6">
      <w:pPr>
        <w:spacing w:after="120"/>
        <w:ind w:left="-360" w:right="293"/>
        <w:jc w:val="both"/>
        <w:rPr>
          <w:lang w:val="en-US"/>
        </w:rPr>
      </w:pPr>
      <w:r w:rsidRPr="008F1AB2">
        <w:t>Th</w:t>
      </w:r>
      <w:r>
        <w:t>e</w:t>
      </w:r>
      <w:r>
        <w:t xml:space="preserve"> workshop </w:t>
      </w:r>
      <w:r>
        <w:t xml:space="preserve">took </w:t>
      </w:r>
      <w:r>
        <w:t>place as part of the ADB TA Project “</w:t>
      </w:r>
      <w:r w:rsidRPr="003604F2">
        <w:t>TA-8731 (BAN)</w:t>
      </w:r>
      <w:r>
        <w:t>:</w:t>
      </w:r>
      <w:r w:rsidRPr="003604F2">
        <w:t xml:space="preserve"> South Asia Subregional Economic Cooperation Railway Connectivity: Akhaura-Laksam Double Track Project – Intl Firm – NAMA Component for Accessing Climate Mitigation Funds</w:t>
      </w:r>
      <w:r>
        <w:t>”.</w:t>
      </w:r>
    </w:p>
    <w:p w:rsidR="00E83DA6" w:rsidRPr="00AA092D" w:rsidRDefault="00E83DA6" w:rsidP="00E83DA6">
      <w:pPr>
        <w:spacing w:after="120"/>
        <w:ind w:left="-360" w:right="293"/>
        <w:jc w:val="both"/>
        <w:rPr>
          <w:lang w:val="en-US"/>
        </w:rPr>
      </w:pPr>
      <w:r>
        <w:t xml:space="preserve">The TA project aims at developing a NAMA on </w:t>
      </w:r>
      <w:r>
        <w:t xml:space="preserve">inter-urban rail in </w:t>
      </w:r>
      <w:r>
        <w:t>Bangladesh</w:t>
      </w:r>
      <w:r>
        <w:t>. T</w:t>
      </w:r>
      <w:r>
        <w:t xml:space="preserve">he workshop </w:t>
      </w:r>
      <w:r>
        <w:t xml:space="preserve">had </w:t>
      </w:r>
      <w:r>
        <w:t>the following targets:</w:t>
      </w:r>
    </w:p>
    <w:p w:rsidR="00E83DA6" w:rsidRPr="00E83DA6" w:rsidRDefault="00E83DA6" w:rsidP="00E83DA6">
      <w:pPr>
        <w:pStyle w:val="ListParagraph"/>
        <w:numPr>
          <w:ilvl w:val="0"/>
          <w:numId w:val="31"/>
        </w:numPr>
        <w:spacing w:after="120"/>
        <w:ind w:left="0" w:right="293"/>
        <w:jc w:val="both"/>
        <w:rPr>
          <w:lang w:val="en-GB"/>
        </w:rPr>
      </w:pPr>
      <w:r w:rsidRPr="00E83DA6">
        <w:rPr>
          <w:lang w:val="en-GB"/>
        </w:rPr>
        <w:t>Discuss and get feedback on the Rail NAMA, Bangladesh.</w:t>
      </w:r>
    </w:p>
    <w:p w:rsidR="00E83DA6" w:rsidRPr="00E83DA6" w:rsidRDefault="00E83DA6" w:rsidP="00E83DA6">
      <w:pPr>
        <w:pStyle w:val="ListParagraph"/>
        <w:numPr>
          <w:ilvl w:val="0"/>
          <w:numId w:val="31"/>
        </w:numPr>
        <w:spacing w:after="120"/>
        <w:ind w:left="0" w:right="293"/>
        <w:jc w:val="both"/>
        <w:rPr>
          <w:lang w:val="en-GB"/>
        </w:rPr>
      </w:pPr>
      <w:r w:rsidRPr="00E83DA6">
        <w:rPr>
          <w:lang w:val="en-GB"/>
        </w:rPr>
        <w:t>Discuss role and climate change mitigation potential of the transport sector in Dhaka and in Bangladesh, with a special reference to the Bangladeshi INDC and the role of potential climate finance opportunities to provide additional finance to this NAMA.</w:t>
      </w:r>
    </w:p>
    <w:p w:rsidR="00E83DA6" w:rsidRDefault="00E83DA6" w:rsidP="00E83DA6">
      <w:pPr>
        <w:spacing w:after="120"/>
        <w:ind w:left="-360" w:right="293"/>
        <w:jc w:val="both"/>
        <w:rPr>
          <w:lang w:val="en-US"/>
        </w:rPr>
      </w:pPr>
      <w:r>
        <w:rPr>
          <w:lang w:val="en-US"/>
        </w:rPr>
        <w:t>The w</w:t>
      </w:r>
      <w:r w:rsidRPr="00AA092D">
        <w:rPr>
          <w:lang w:val="en-US"/>
        </w:rPr>
        <w:t xml:space="preserve">orkshop </w:t>
      </w:r>
      <w:r>
        <w:rPr>
          <w:lang w:val="en-US"/>
        </w:rPr>
        <w:t xml:space="preserve">was </w:t>
      </w:r>
      <w:r w:rsidRPr="00AA092D">
        <w:rPr>
          <w:lang w:val="en-US"/>
        </w:rPr>
        <w:t xml:space="preserve">organized by Grütter Consulting and </w:t>
      </w:r>
      <w:r>
        <w:rPr>
          <w:lang w:val="en-US"/>
        </w:rPr>
        <w:t>BR</w:t>
      </w:r>
      <w:r>
        <w:rPr>
          <w:lang w:val="en-US"/>
        </w:rPr>
        <w:t xml:space="preserve"> as part of the TA Project mentioned above.</w:t>
      </w:r>
    </w:p>
    <w:p w:rsidR="00E83DA6" w:rsidRDefault="00E83DA6" w:rsidP="00E83DA6">
      <w:pPr>
        <w:spacing w:after="0" w:line="240" w:lineRule="auto"/>
        <w:jc w:val="center"/>
        <w:rPr>
          <w:rFonts w:ascii="Times New Roman" w:hAnsi="Times New Roman"/>
          <w:b/>
        </w:rPr>
      </w:pPr>
    </w:p>
    <w:p w:rsidR="00E83DA6" w:rsidRDefault="00E83DA6" w:rsidP="00E83DA6">
      <w:pPr>
        <w:spacing w:after="0" w:line="240" w:lineRule="auto"/>
        <w:jc w:val="center"/>
        <w:rPr>
          <w:sz w:val="24"/>
        </w:rPr>
      </w:pPr>
      <w:r w:rsidRPr="00D62C6D">
        <w:rPr>
          <w:rFonts w:ascii="Times New Roman" w:hAnsi="Times New Roman"/>
          <w:b/>
        </w:rPr>
        <w:t>NAMA Stakeholder Consultation Workshop</w:t>
      </w:r>
      <w:r w:rsidRPr="002550F7">
        <w:rPr>
          <w:sz w:val="24"/>
        </w:rPr>
        <w:t xml:space="preserve"> </w:t>
      </w:r>
    </w:p>
    <w:p w:rsidR="00E83DA6" w:rsidRDefault="00E83DA6" w:rsidP="00E83DA6">
      <w:pPr>
        <w:spacing w:after="0" w:line="240" w:lineRule="auto"/>
        <w:jc w:val="center"/>
        <w:rPr>
          <w:rFonts w:eastAsia="Malgun Gothic"/>
          <w:sz w:val="24"/>
          <w:lang w:val="mn-MN" w:eastAsia="ko-KR"/>
        </w:rPr>
      </w:pPr>
      <w:r w:rsidRPr="002550F7">
        <w:rPr>
          <w:sz w:val="24"/>
        </w:rPr>
        <w:t xml:space="preserve">Workshop </w:t>
      </w:r>
      <w:r w:rsidRPr="002550F7">
        <w:rPr>
          <w:rFonts w:eastAsia="Malgun Gothic" w:hint="eastAsia"/>
          <w:sz w:val="24"/>
          <w:lang w:val="mn-MN" w:eastAsia="ko-KR"/>
        </w:rPr>
        <w:t>Agenda</w:t>
      </w:r>
    </w:p>
    <w:p w:rsidR="00E83DA6" w:rsidRDefault="00E83DA6" w:rsidP="00E83DA6">
      <w:pPr>
        <w:spacing w:after="0" w:line="240" w:lineRule="auto"/>
        <w:rPr>
          <w:rFonts w:eastAsia="Malgun Gothic"/>
          <w:sz w:val="24"/>
          <w:lang w:val="mn-MN" w:eastAsia="ko-KR"/>
        </w:rPr>
      </w:pPr>
    </w:p>
    <w:p w:rsidR="00E83DA6" w:rsidRDefault="00E83DA6" w:rsidP="00E83DA6">
      <w:pPr>
        <w:spacing w:after="0" w:line="240" w:lineRule="auto"/>
        <w:rPr>
          <w:rFonts w:eastAsia="Malgun Gothic"/>
          <w:b/>
          <w:lang w:val="mn-MN" w:eastAsia="ko-KR"/>
        </w:rPr>
      </w:pPr>
      <w:r>
        <w:rPr>
          <w:rFonts w:eastAsia="Malgun Gothic" w:hint="eastAsia"/>
          <w:b/>
          <w:lang w:val="mn-MN" w:eastAsia="ko-KR"/>
        </w:rPr>
        <w:t xml:space="preserve">Workshop date: </w:t>
      </w:r>
      <w:r w:rsidRPr="002550F7">
        <w:rPr>
          <w:rFonts w:eastAsia="Malgun Gothic" w:hint="eastAsia"/>
          <w:b/>
          <w:lang w:val="mn-MN" w:eastAsia="ko-KR"/>
        </w:rPr>
        <w:t xml:space="preserve">2016 </w:t>
      </w:r>
      <w:r>
        <w:rPr>
          <w:rFonts w:eastAsia="Malgun Gothic"/>
          <w:b/>
          <w:lang w:val="en-US" w:eastAsia="ko-KR"/>
        </w:rPr>
        <w:t>October</w:t>
      </w:r>
      <w:r>
        <w:rPr>
          <w:rFonts w:eastAsia="Malgun Gothic" w:hint="eastAsia"/>
          <w:b/>
          <w:lang w:val="mn-MN" w:eastAsia="ko-KR"/>
        </w:rPr>
        <w:t xml:space="preserve"> 4</w:t>
      </w:r>
      <w:r w:rsidRPr="002550F7">
        <w:rPr>
          <w:rFonts w:eastAsia="Malgun Gothic" w:hint="eastAsia"/>
          <w:b/>
          <w:lang w:val="mn-MN" w:eastAsia="ko-KR"/>
        </w:rPr>
        <w:t xml:space="preserve">th </w:t>
      </w:r>
      <w:r>
        <w:rPr>
          <w:rFonts w:eastAsia="Malgun Gothic" w:hint="eastAsia"/>
          <w:b/>
          <w:lang w:val="mn-MN" w:eastAsia="ko-KR"/>
        </w:rPr>
        <w:t xml:space="preserve">,  at </w:t>
      </w:r>
      <w:r>
        <w:rPr>
          <w:rFonts w:eastAsia="Malgun Gothic"/>
          <w:b/>
          <w:lang w:val="en-US" w:eastAsia="ko-KR"/>
        </w:rPr>
        <w:t>9</w:t>
      </w:r>
      <w:r>
        <w:rPr>
          <w:rFonts w:eastAsia="Malgun Gothic" w:hint="eastAsia"/>
          <w:b/>
          <w:lang w:val="mn-MN" w:eastAsia="ko-KR"/>
        </w:rPr>
        <w:t>.30 am</w:t>
      </w:r>
    </w:p>
    <w:p w:rsidR="00E83DA6" w:rsidRDefault="00E83DA6" w:rsidP="00E83DA6">
      <w:pPr>
        <w:spacing w:after="0" w:line="240" w:lineRule="auto"/>
        <w:rPr>
          <w:rFonts w:eastAsia="Malgun Gothic"/>
          <w:b/>
          <w:lang w:val="en-US" w:eastAsia="ko-KR"/>
        </w:rPr>
      </w:pPr>
      <w:r>
        <w:rPr>
          <w:rFonts w:eastAsia="Malgun Gothic" w:hint="eastAsia"/>
          <w:b/>
          <w:lang w:val="mn-MN" w:eastAsia="ko-KR"/>
        </w:rPr>
        <w:t xml:space="preserve">Workshop venue: </w:t>
      </w:r>
      <w:r>
        <w:rPr>
          <w:rFonts w:eastAsia="Malgun Gothic"/>
          <w:b/>
          <w:lang w:val="en-US" w:eastAsia="ko-KR"/>
        </w:rPr>
        <w:t>Le Meridien Hotel</w:t>
      </w:r>
    </w:p>
    <w:p w:rsidR="00E83DA6" w:rsidRPr="002550F7" w:rsidRDefault="00E83DA6" w:rsidP="00E83DA6">
      <w:pPr>
        <w:spacing w:after="0" w:line="240" w:lineRule="auto"/>
        <w:rPr>
          <w:rFonts w:eastAsia="Malgun Gothic"/>
          <w:b/>
          <w:lang w:val="mn-MN" w:eastAsia="ko-KR"/>
        </w:rPr>
      </w:pPr>
    </w:p>
    <w:tbl>
      <w:tblPr>
        <w:tblW w:w="8960" w:type="dxa"/>
        <w:tblInd w:w="98" w:type="dxa"/>
        <w:tblLook w:val="04A0" w:firstRow="1" w:lastRow="0" w:firstColumn="1" w:lastColumn="0" w:noHBand="0" w:noVBand="1"/>
      </w:tblPr>
      <w:tblGrid>
        <w:gridCol w:w="1512"/>
        <w:gridCol w:w="3690"/>
        <w:gridCol w:w="3758"/>
      </w:tblGrid>
      <w:tr w:rsidR="00E83DA6" w:rsidRPr="00D62C6D" w:rsidTr="00926034">
        <w:trPr>
          <w:trHeight w:val="315"/>
        </w:trPr>
        <w:tc>
          <w:tcPr>
            <w:tcW w:w="1512" w:type="dxa"/>
            <w:tcBorders>
              <w:top w:val="single" w:sz="8" w:space="0" w:color="auto"/>
              <w:left w:val="single" w:sz="8" w:space="0" w:color="auto"/>
              <w:bottom w:val="single" w:sz="8" w:space="0" w:color="auto"/>
              <w:right w:val="single" w:sz="8" w:space="0" w:color="auto"/>
            </w:tcBorders>
            <w:shd w:val="clear" w:color="000000" w:fill="9CC2E5"/>
            <w:vAlign w:val="center"/>
            <w:hideMark/>
          </w:tcPr>
          <w:p w:rsidR="00E83DA6" w:rsidRPr="00D62C6D" w:rsidRDefault="00E83DA6" w:rsidP="00926034">
            <w:pPr>
              <w:spacing w:after="0" w:line="240" w:lineRule="auto"/>
              <w:rPr>
                <w:rFonts w:ascii="Times New Roman" w:eastAsia="Times New Roman" w:hAnsi="Times New Roman"/>
                <w:b/>
                <w:bCs/>
              </w:rPr>
            </w:pPr>
            <w:r w:rsidRPr="00D62C6D">
              <w:rPr>
                <w:rFonts w:ascii="Times New Roman" w:eastAsia="Times New Roman" w:hAnsi="Times New Roman"/>
                <w:b/>
                <w:bCs/>
              </w:rPr>
              <w:t>Duration</w:t>
            </w:r>
          </w:p>
        </w:tc>
        <w:tc>
          <w:tcPr>
            <w:tcW w:w="3690" w:type="dxa"/>
            <w:tcBorders>
              <w:top w:val="single" w:sz="8" w:space="0" w:color="auto"/>
              <w:left w:val="nil"/>
              <w:bottom w:val="single" w:sz="8" w:space="0" w:color="auto"/>
              <w:right w:val="single" w:sz="8" w:space="0" w:color="auto"/>
            </w:tcBorders>
            <w:shd w:val="clear" w:color="000000" w:fill="9CC2E5"/>
            <w:vAlign w:val="center"/>
            <w:hideMark/>
          </w:tcPr>
          <w:p w:rsidR="00E83DA6" w:rsidRPr="00D62C6D" w:rsidRDefault="00E83DA6" w:rsidP="00926034">
            <w:pPr>
              <w:spacing w:after="0" w:line="240" w:lineRule="auto"/>
              <w:rPr>
                <w:rFonts w:ascii="Times New Roman" w:eastAsia="Times New Roman" w:hAnsi="Times New Roman"/>
                <w:b/>
                <w:bCs/>
              </w:rPr>
            </w:pPr>
            <w:r w:rsidRPr="00D62C6D">
              <w:rPr>
                <w:rFonts w:ascii="Times New Roman" w:eastAsia="Times New Roman" w:hAnsi="Times New Roman"/>
                <w:b/>
                <w:bCs/>
              </w:rPr>
              <w:t>Activity</w:t>
            </w:r>
          </w:p>
        </w:tc>
        <w:tc>
          <w:tcPr>
            <w:tcW w:w="3758" w:type="dxa"/>
            <w:tcBorders>
              <w:top w:val="single" w:sz="8" w:space="0" w:color="auto"/>
              <w:left w:val="nil"/>
              <w:bottom w:val="single" w:sz="8" w:space="0" w:color="auto"/>
              <w:right w:val="single" w:sz="8" w:space="0" w:color="auto"/>
            </w:tcBorders>
            <w:shd w:val="clear" w:color="000000" w:fill="9CC2E5"/>
            <w:vAlign w:val="center"/>
            <w:hideMark/>
          </w:tcPr>
          <w:p w:rsidR="00E83DA6" w:rsidRPr="00D62C6D" w:rsidRDefault="00E83DA6" w:rsidP="00926034">
            <w:pPr>
              <w:spacing w:after="0" w:line="240" w:lineRule="auto"/>
              <w:rPr>
                <w:rFonts w:ascii="Times New Roman" w:eastAsia="Times New Roman" w:hAnsi="Times New Roman"/>
                <w:b/>
                <w:bCs/>
              </w:rPr>
            </w:pPr>
            <w:r w:rsidRPr="00D62C6D">
              <w:rPr>
                <w:rFonts w:ascii="Times New Roman" w:eastAsia="Times New Roman" w:hAnsi="Times New Roman"/>
                <w:b/>
                <w:bCs/>
              </w:rPr>
              <w:t>Responsible</w:t>
            </w:r>
          </w:p>
        </w:tc>
      </w:tr>
      <w:tr w:rsidR="00E83DA6" w:rsidRPr="00D62C6D" w:rsidTr="00926034">
        <w:trPr>
          <w:trHeight w:val="315"/>
        </w:trPr>
        <w:tc>
          <w:tcPr>
            <w:tcW w:w="1512" w:type="dxa"/>
            <w:tcBorders>
              <w:top w:val="nil"/>
              <w:left w:val="single" w:sz="8" w:space="0" w:color="auto"/>
              <w:bottom w:val="single" w:sz="8" w:space="0" w:color="auto"/>
              <w:right w:val="single" w:sz="8" w:space="0" w:color="auto"/>
            </w:tcBorders>
            <w:shd w:val="clear" w:color="auto" w:fill="auto"/>
            <w:vAlign w:val="center"/>
            <w:hideMark/>
          </w:tcPr>
          <w:p w:rsidR="00E83DA6" w:rsidRPr="00D62C6D" w:rsidRDefault="00E83DA6" w:rsidP="00926034">
            <w:pPr>
              <w:spacing w:after="0" w:line="240" w:lineRule="auto"/>
              <w:rPr>
                <w:rFonts w:ascii="Times New Roman" w:eastAsia="Times New Roman" w:hAnsi="Times New Roman"/>
              </w:rPr>
            </w:pPr>
            <w:r w:rsidRPr="00D62C6D">
              <w:rPr>
                <w:rFonts w:ascii="Times New Roman" w:eastAsia="Times New Roman" w:hAnsi="Times New Roman"/>
              </w:rPr>
              <w:t xml:space="preserve">9.00 – 9.30 </w:t>
            </w:r>
          </w:p>
        </w:tc>
        <w:tc>
          <w:tcPr>
            <w:tcW w:w="3690" w:type="dxa"/>
            <w:tcBorders>
              <w:top w:val="nil"/>
              <w:left w:val="nil"/>
              <w:bottom w:val="single" w:sz="8" w:space="0" w:color="auto"/>
              <w:right w:val="single" w:sz="8" w:space="0" w:color="auto"/>
            </w:tcBorders>
            <w:shd w:val="clear" w:color="auto" w:fill="auto"/>
            <w:vAlign w:val="center"/>
            <w:hideMark/>
          </w:tcPr>
          <w:p w:rsidR="00E83DA6" w:rsidRPr="00D62C6D" w:rsidRDefault="00E83DA6" w:rsidP="00926034">
            <w:pPr>
              <w:spacing w:after="0" w:line="240" w:lineRule="auto"/>
              <w:rPr>
                <w:rFonts w:ascii="Times New Roman" w:eastAsia="Times New Roman" w:hAnsi="Times New Roman"/>
              </w:rPr>
            </w:pPr>
            <w:r w:rsidRPr="00D62C6D">
              <w:rPr>
                <w:rFonts w:ascii="Times New Roman" w:eastAsia="Times New Roman" w:hAnsi="Times New Roman"/>
              </w:rPr>
              <w:t>Arrival and Registration</w:t>
            </w:r>
          </w:p>
        </w:tc>
        <w:tc>
          <w:tcPr>
            <w:tcW w:w="3758" w:type="dxa"/>
            <w:tcBorders>
              <w:top w:val="nil"/>
              <w:left w:val="nil"/>
              <w:bottom w:val="single" w:sz="8" w:space="0" w:color="auto"/>
              <w:right w:val="single" w:sz="8" w:space="0" w:color="auto"/>
            </w:tcBorders>
            <w:shd w:val="clear" w:color="auto" w:fill="auto"/>
            <w:vAlign w:val="center"/>
            <w:hideMark/>
          </w:tcPr>
          <w:p w:rsidR="00E83DA6" w:rsidRPr="00D62C6D" w:rsidRDefault="00E83DA6" w:rsidP="00926034">
            <w:pPr>
              <w:spacing w:after="0" w:line="240" w:lineRule="auto"/>
              <w:rPr>
                <w:rFonts w:ascii="Times New Roman" w:eastAsia="Times New Roman" w:hAnsi="Times New Roman"/>
              </w:rPr>
            </w:pPr>
            <w:r w:rsidRPr="00D62C6D">
              <w:rPr>
                <w:rFonts w:ascii="Times New Roman" w:eastAsia="Times New Roman" w:hAnsi="Times New Roman"/>
              </w:rPr>
              <w:t>Grutter Consulting</w:t>
            </w:r>
          </w:p>
        </w:tc>
      </w:tr>
      <w:tr w:rsidR="00E83DA6" w:rsidRPr="00D62C6D" w:rsidTr="00926034">
        <w:trPr>
          <w:trHeight w:val="315"/>
        </w:trPr>
        <w:tc>
          <w:tcPr>
            <w:tcW w:w="1512" w:type="dxa"/>
            <w:tcBorders>
              <w:top w:val="nil"/>
              <w:left w:val="single" w:sz="8" w:space="0" w:color="auto"/>
              <w:bottom w:val="single" w:sz="8" w:space="0" w:color="auto"/>
              <w:right w:val="single" w:sz="8" w:space="0" w:color="auto"/>
            </w:tcBorders>
            <w:shd w:val="clear" w:color="auto" w:fill="auto"/>
            <w:vAlign w:val="center"/>
            <w:hideMark/>
          </w:tcPr>
          <w:p w:rsidR="00E83DA6" w:rsidRPr="00D62C6D" w:rsidRDefault="00E83DA6" w:rsidP="00926034">
            <w:pPr>
              <w:spacing w:after="0" w:line="240" w:lineRule="auto"/>
              <w:rPr>
                <w:rFonts w:ascii="Times New Roman" w:eastAsia="Times New Roman" w:hAnsi="Times New Roman"/>
              </w:rPr>
            </w:pPr>
            <w:r w:rsidRPr="00D62C6D">
              <w:rPr>
                <w:rFonts w:ascii="Times New Roman" w:eastAsia="Times New Roman" w:hAnsi="Times New Roman"/>
              </w:rPr>
              <w:t>9.30-9.45</w:t>
            </w:r>
          </w:p>
        </w:tc>
        <w:tc>
          <w:tcPr>
            <w:tcW w:w="3690" w:type="dxa"/>
            <w:tcBorders>
              <w:top w:val="nil"/>
              <w:left w:val="nil"/>
              <w:bottom w:val="single" w:sz="8" w:space="0" w:color="auto"/>
              <w:right w:val="single" w:sz="8" w:space="0" w:color="auto"/>
            </w:tcBorders>
            <w:shd w:val="clear" w:color="auto" w:fill="auto"/>
            <w:vAlign w:val="center"/>
            <w:hideMark/>
          </w:tcPr>
          <w:p w:rsidR="00E83DA6" w:rsidRPr="00D62C6D" w:rsidRDefault="00E83DA6" w:rsidP="00926034">
            <w:pPr>
              <w:spacing w:after="0" w:line="240" w:lineRule="auto"/>
              <w:rPr>
                <w:rFonts w:ascii="Times New Roman" w:eastAsia="Times New Roman" w:hAnsi="Times New Roman"/>
              </w:rPr>
            </w:pPr>
            <w:r w:rsidRPr="00D62C6D">
              <w:rPr>
                <w:rFonts w:ascii="Times New Roman" w:eastAsia="Times New Roman" w:hAnsi="Times New Roman"/>
              </w:rPr>
              <w:t>Welcome Address</w:t>
            </w:r>
          </w:p>
        </w:tc>
        <w:tc>
          <w:tcPr>
            <w:tcW w:w="3758" w:type="dxa"/>
            <w:tcBorders>
              <w:top w:val="nil"/>
              <w:left w:val="nil"/>
              <w:bottom w:val="single" w:sz="8" w:space="0" w:color="auto"/>
              <w:right w:val="single" w:sz="8" w:space="0" w:color="auto"/>
            </w:tcBorders>
            <w:shd w:val="clear" w:color="auto" w:fill="auto"/>
            <w:vAlign w:val="center"/>
            <w:hideMark/>
          </w:tcPr>
          <w:p w:rsidR="00E83DA6" w:rsidRPr="00D62C6D" w:rsidRDefault="00E83DA6" w:rsidP="00926034">
            <w:pPr>
              <w:spacing w:after="0" w:line="240" w:lineRule="auto"/>
              <w:rPr>
                <w:rFonts w:ascii="Times New Roman" w:eastAsia="Times New Roman" w:hAnsi="Times New Roman"/>
              </w:rPr>
            </w:pPr>
            <w:r w:rsidRPr="00D62C6D">
              <w:rPr>
                <w:rFonts w:ascii="Times New Roman" w:hAnsi="Times New Roman"/>
                <w:color w:val="000000"/>
              </w:rPr>
              <w:t>General Manager /Project</w:t>
            </w:r>
            <w:r w:rsidRPr="00D62C6D">
              <w:rPr>
                <w:rFonts w:ascii="Times New Roman" w:hAnsi="Times New Roman"/>
              </w:rPr>
              <w:t xml:space="preserve"> Director, BR</w:t>
            </w:r>
          </w:p>
        </w:tc>
      </w:tr>
      <w:tr w:rsidR="00E83DA6" w:rsidRPr="00D62C6D" w:rsidTr="00926034">
        <w:trPr>
          <w:trHeight w:val="315"/>
        </w:trPr>
        <w:tc>
          <w:tcPr>
            <w:tcW w:w="1512" w:type="dxa"/>
            <w:tcBorders>
              <w:top w:val="nil"/>
              <w:left w:val="single" w:sz="8" w:space="0" w:color="auto"/>
              <w:bottom w:val="single" w:sz="8" w:space="0" w:color="auto"/>
              <w:right w:val="single" w:sz="8" w:space="0" w:color="auto"/>
            </w:tcBorders>
            <w:shd w:val="clear" w:color="auto" w:fill="auto"/>
            <w:vAlign w:val="center"/>
            <w:hideMark/>
          </w:tcPr>
          <w:p w:rsidR="00E83DA6" w:rsidRPr="00D62C6D" w:rsidRDefault="00E83DA6" w:rsidP="00926034">
            <w:pPr>
              <w:spacing w:after="0" w:line="240" w:lineRule="auto"/>
              <w:rPr>
                <w:rFonts w:ascii="Times New Roman" w:eastAsia="Times New Roman" w:hAnsi="Times New Roman"/>
              </w:rPr>
            </w:pPr>
            <w:r w:rsidRPr="00D62C6D">
              <w:rPr>
                <w:rFonts w:ascii="Times New Roman" w:eastAsia="Times New Roman" w:hAnsi="Times New Roman"/>
              </w:rPr>
              <w:t>9.45-10.00</w:t>
            </w:r>
          </w:p>
        </w:tc>
        <w:tc>
          <w:tcPr>
            <w:tcW w:w="3690" w:type="dxa"/>
            <w:tcBorders>
              <w:top w:val="nil"/>
              <w:left w:val="nil"/>
              <w:bottom w:val="single" w:sz="8" w:space="0" w:color="auto"/>
              <w:right w:val="single" w:sz="8" w:space="0" w:color="auto"/>
            </w:tcBorders>
            <w:shd w:val="clear" w:color="auto" w:fill="auto"/>
            <w:vAlign w:val="center"/>
            <w:hideMark/>
          </w:tcPr>
          <w:p w:rsidR="00E83DA6" w:rsidRPr="00D62C6D" w:rsidRDefault="00E83DA6" w:rsidP="00926034">
            <w:pPr>
              <w:spacing w:after="0" w:line="240" w:lineRule="auto"/>
              <w:rPr>
                <w:rFonts w:ascii="Times New Roman" w:eastAsia="Times New Roman" w:hAnsi="Times New Roman"/>
              </w:rPr>
            </w:pPr>
            <w:r w:rsidRPr="00D62C6D">
              <w:rPr>
                <w:rFonts w:ascii="Times New Roman" w:eastAsia="Times New Roman" w:hAnsi="Times New Roman"/>
              </w:rPr>
              <w:t>Welcome Address</w:t>
            </w:r>
          </w:p>
        </w:tc>
        <w:tc>
          <w:tcPr>
            <w:tcW w:w="3758" w:type="dxa"/>
            <w:tcBorders>
              <w:top w:val="nil"/>
              <w:left w:val="nil"/>
              <w:bottom w:val="single" w:sz="8" w:space="0" w:color="auto"/>
              <w:right w:val="single" w:sz="8" w:space="0" w:color="auto"/>
            </w:tcBorders>
            <w:shd w:val="clear" w:color="auto" w:fill="auto"/>
            <w:vAlign w:val="center"/>
            <w:hideMark/>
          </w:tcPr>
          <w:p w:rsidR="00E83DA6" w:rsidRPr="00D62C6D" w:rsidRDefault="00E83DA6" w:rsidP="00926034">
            <w:pPr>
              <w:spacing w:after="0" w:line="240" w:lineRule="auto"/>
              <w:rPr>
                <w:rFonts w:ascii="Times New Roman" w:eastAsia="Times New Roman" w:hAnsi="Times New Roman"/>
              </w:rPr>
            </w:pPr>
            <w:r w:rsidRPr="00D62C6D">
              <w:rPr>
                <w:rFonts w:ascii="Times New Roman" w:eastAsia="Times New Roman" w:hAnsi="Times New Roman"/>
              </w:rPr>
              <w:t>Markus Roesner ,ADB</w:t>
            </w:r>
          </w:p>
        </w:tc>
      </w:tr>
      <w:tr w:rsidR="00E83DA6" w:rsidRPr="00D62C6D" w:rsidTr="00926034">
        <w:trPr>
          <w:trHeight w:val="315"/>
        </w:trPr>
        <w:tc>
          <w:tcPr>
            <w:tcW w:w="1512" w:type="dxa"/>
            <w:tcBorders>
              <w:top w:val="nil"/>
              <w:left w:val="single" w:sz="8" w:space="0" w:color="auto"/>
              <w:bottom w:val="single" w:sz="8" w:space="0" w:color="auto"/>
              <w:right w:val="single" w:sz="8" w:space="0" w:color="auto"/>
            </w:tcBorders>
            <w:shd w:val="clear" w:color="auto" w:fill="auto"/>
            <w:vAlign w:val="center"/>
            <w:hideMark/>
          </w:tcPr>
          <w:p w:rsidR="00E83DA6" w:rsidRPr="00D62C6D" w:rsidRDefault="00E83DA6" w:rsidP="00926034">
            <w:pPr>
              <w:spacing w:after="0" w:line="240" w:lineRule="auto"/>
              <w:rPr>
                <w:rFonts w:ascii="Times New Roman" w:eastAsia="Times New Roman" w:hAnsi="Times New Roman"/>
              </w:rPr>
            </w:pPr>
            <w:r w:rsidRPr="00D62C6D">
              <w:rPr>
                <w:rFonts w:ascii="Times New Roman" w:eastAsia="Times New Roman" w:hAnsi="Times New Roman"/>
              </w:rPr>
              <w:t xml:space="preserve">10.00 -10.15 </w:t>
            </w:r>
          </w:p>
        </w:tc>
        <w:tc>
          <w:tcPr>
            <w:tcW w:w="3690" w:type="dxa"/>
            <w:tcBorders>
              <w:top w:val="nil"/>
              <w:left w:val="nil"/>
              <w:bottom w:val="single" w:sz="8" w:space="0" w:color="auto"/>
              <w:right w:val="single" w:sz="8" w:space="0" w:color="auto"/>
            </w:tcBorders>
            <w:shd w:val="clear" w:color="auto" w:fill="auto"/>
            <w:vAlign w:val="center"/>
            <w:hideMark/>
          </w:tcPr>
          <w:p w:rsidR="00E83DA6" w:rsidRPr="00D62C6D" w:rsidRDefault="00E83DA6" w:rsidP="00926034">
            <w:pPr>
              <w:spacing w:after="0" w:line="240" w:lineRule="auto"/>
              <w:rPr>
                <w:rFonts w:ascii="Times New Roman" w:eastAsia="Times New Roman" w:hAnsi="Times New Roman"/>
              </w:rPr>
            </w:pPr>
            <w:r>
              <w:rPr>
                <w:rFonts w:ascii="Times New Roman" w:eastAsia="Times New Roman" w:hAnsi="Times New Roman"/>
              </w:rPr>
              <w:t>Inaugural Speech by</w:t>
            </w:r>
            <w:r w:rsidRPr="00D62C6D">
              <w:rPr>
                <w:rFonts w:ascii="Times New Roman" w:eastAsia="Times New Roman" w:hAnsi="Times New Roman"/>
              </w:rPr>
              <w:t xml:space="preserve"> </w:t>
            </w:r>
            <w:r w:rsidRPr="00D62C6D">
              <w:rPr>
                <w:rFonts w:ascii="Times New Roman" w:hAnsi="Times New Roman"/>
              </w:rPr>
              <w:t>Chief Guest</w:t>
            </w:r>
          </w:p>
        </w:tc>
        <w:tc>
          <w:tcPr>
            <w:tcW w:w="3758" w:type="dxa"/>
            <w:tcBorders>
              <w:top w:val="nil"/>
              <w:left w:val="nil"/>
              <w:bottom w:val="single" w:sz="8" w:space="0" w:color="auto"/>
              <w:right w:val="single" w:sz="8" w:space="0" w:color="auto"/>
            </w:tcBorders>
            <w:shd w:val="clear" w:color="auto" w:fill="auto"/>
            <w:vAlign w:val="center"/>
            <w:hideMark/>
          </w:tcPr>
          <w:p w:rsidR="00E83DA6" w:rsidRPr="00D62C6D" w:rsidRDefault="00E83DA6" w:rsidP="00926034">
            <w:pPr>
              <w:spacing w:after="0" w:line="240" w:lineRule="auto"/>
              <w:rPr>
                <w:rFonts w:ascii="Times New Roman" w:eastAsia="Times New Roman" w:hAnsi="Times New Roman"/>
              </w:rPr>
            </w:pPr>
            <w:r w:rsidRPr="00D62C6D">
              <w:rPr>
                <w:rFonts w:ascii="Times New Roman" w:hAnsi="Times New Roman"/>
              </w:rPr>
              <w:t>Director General, BR</w:t>
            </w:r>
          </w:p>
        </w:tc>
      </w:tr>
      <w:tr w:rsidR="00E83DA6" w:rsidRPr="00D62C6D" w:rsidTr="00926034">
        <w:trPr>
          <w:trHeight w:val="615"/>
        </w:trPr>
        <w:tc>
          <w:tcPr>
            <w:tcW w:w="1512" w:type="dxa"/>
            <w:tcBorders>
              <w:top w:val="nil"/>
              <w:left w:val="single" w:sz="8" w:space="0" w:color="auto"/>
              <w:bottom w:val="single" w:sz="8" w:space="0" w:color="auto"/>
              <w:right w:val="single" w:sz="8" w:space="0" w:color="auto"/>
            </w:tcBorders>
            <w:shd w:val="clear" w:color="auto" w:fill="auto"/>
            <w:vAlign w:val="center"/>
            <w:hideMark/>
          </w:tcPr>
          <w:p w:rsidR="00E83DA6" w:rsidRPr="00D62C6D" w:rsidRDefault="00E83DA6" w:rsidP="00926034">
            <w:pPr>
              <w:spacing w:after="0" w:line="240" w:lineRule="auto"/>
              <w:rPr>
                <w:rFonts w:ascii="Times New Roman" w:eastAsia="Times New Roman" w:hAnsi="Times New Roman"/>
              </w:rPr>
            </w:pPr>
            <w:r w:rsidRPr="00D62C6D">
              <w:rPr>
                <w:rFonts w:ascii="Times New Roman" w:eastAsia="Times New Roman" w:hAnsi="Times New Roman"/>
              </w:rPr>
              <w:t>10.15 – 10.30</w:t>
            </w:r>
          </w:p>
        </w:tc>
        <w:tc>
          <w:tcPr>
            <w:tcW w:w="3690" w:type="dxa"/>
            <w:tcBorders>
              <w:top w:val="nil"/>
              <w:left w:val="nil"/>
              <w:bottom w:val="single" w:sz="8" w:space="0" w:color="auto"/>
              <w:right w:val="single" w:sz="8" w:space="0" w:color="auto"/>
            </w:tcBorders>
            <w:shd w:val="clear" w:color="auto" w:fill="auto"/>
            <w:vAlign w:val="center"/>
            <w:hideMark/>
          </w:tcPr>
          <w:p w:rsidR="00E83DA6" w:rsidRPr="00D62C6D" w:rsidRDefault="00E83DA6" w:rsidP="00926034">
            <w:pPr>
              <w:spacing w:after="0" w:line="240" w:lineRule="auto"/>
              <w:rPr>
                <w:rFonts w:ascii="Times New Roman" w:eastAsia="Times New Roman" w:hAnsi="Times New Roman"/>
              </w:rPr>
            </w:pPr>
            <w:r w:rsidRPr="00D62C6D">
              <w:rPr>
                <w:rFonts w:ascii="Times New Roman" w:eastAsia="Times New Roman" w:hAnsi="Times New Roman"/>
              </w:rPr>
              <w:t>ADB’s role in Transport and Climate Finance</w:t>
            </w:r>
          </w:p>
        </w:tc>
        <w:tc>
          <w:tcPr>
            <w:tcW w:w="3758" w:type="dxa"/>
            <w:tcBorders>
              <w:top w:val="nil"/>
              <w:left w:val="nil"/>
              <w:bottom w:val="single" w:sz="8" w:space="0" w:color="auto"/>
              <w:right w:val="single" w:sz="8" w:space="0" w:color="auto"/>
            </w:tcBorders>
            <w:shd w:val="clear" w:color="auto" w:fill="auto"/>
            <w:vAlign w:val="center"/>
            <w:hideMark/>
          </w:tcPr>
          <w:p w:rsidR="00E83DA6" w:rsidRPr="00D62C6D" w:rsidRDefault="00E83DA6" w:rsidP="00926034">
            <w:pPr>
              <w:spacing w:after="0" w:line="240" w:lineRule="auto"/>
              <w:rPr>
                <w:rFonts w:ascii="Times New Roman" w:eastAsia="Times New Roman" w:hAnsi="Times New Roman"/>
              </w:rPr>
            </w:pPr>
            <w:r w:rsidRPr="00D62C6D">
              <w:rPr>
                <w:rFonts w:ascii="Times New Roman" w:eastAsia="Times New Roman" w:hAnsi="Times New Roman"/>
              </w:rPr>
              <w:t>N. Soetantri, ADB</w:t>
            </w:r>
          </w:p>
        </w:tc>
      </w:tr>
      <w:tr w:rsidR="00E83DA6" w:rsidRPr="00D62C6D" w:rsidTr="00926034">
        <w:trPr>
          <w:trHeight w:val="915"/>
        </w:trPr>
        <w:tc>
          <w:tcPr>
            <w:tcW w:w="1512" w:type="dxa"/>
            <w:tcBorders>
              <w:top w:val="nil"/>
              <w:left w:val="single" w:sz="8" w:space="0" w:color="auto"/>
              <w:bottom w:val="single" w:sz="8" w:space="0" w:color="auto"/>
              <w:right w:val="single" w:sz="8" w:space="0" w:color="auto"/>
            </w:tcBorders>
            <w:shd w:val="clear" w:color="auto" w:fill="auto"/>
            <w:vAlign w:val="center"/>
            <w:hideMark/>
          </w:tcPr>
          <w:p w:rsidR="00E83DA6" w:rsidRPr="00D62C6D" w:rsidRDefault="00E83DA6" w:rsidP="00926034">
            <w:pPr>
              <w:spacing w:after="0" w:line="240" w:lineRule="auto"/>
              <w:rPr>
                <w:rFonts w:ascii="Times New Roman" w:eastAsia="Times New Roman" w:hAnsi="Times New Roman"/>
              </w:rPr>
            </w:pPr>
            <w:r w:rsidRPr="00D62C6D">
              <w:rPr>
                <w:rFonts w:ascii="Times New Roman" w:eastAsia="Times New Roman" w:hAnsi="Times New Roman"/>
              </w:rPr>
              <w:t>10.30 – 11.00</w:t>
            </w:r>
          </w:p>
        </w:tc>
        <w:tc>
          <w:tcPr>
            <w:tcW w:w="3690" w:type="dxa"/>
            <w:tcBorders>
              <w:top w:val="nil"/>
              <w:left w:val="nil"/>
              <w:bottom w:val="single" w:sz="8" w:space="0" w:color="auto"/>
              <w:right w:val="single" w:sz="8" w:space="0" w:color="auto"/>
            </w:tcBorders>
            <w:shd w:val="clear" w:color="auto" w:fill="auto"/>
            <w:vAlign w:val="center"/>
            <w:hideMark/>
          </w:tcPr>
          <w:p w:rsidR="00E83DA6" w:rsidRPr="00D62C6D" w:rsidRDefault="00E83DA6" w:rsidP="00926034">
            <w:pPr>
              <w:spacing w:after="0" w:line="240" w:lineRule="auto"/>
              <w:rPr>
                <w:rFonts w:ascii="Times New Roman" w:eastAsia="Times New Roman" w:hAnsi="Times New Roman"/>
              </w:rPr>
            </w:pPr>
            <w:r w:rsidRPr="00D62C6D">
              <w:rPr>
                <w:rFonts w:ascii="Times New Roman" w:eastAsia="Times New Roman" w:hAnsi="Times New Roman"/>
              </w:rPr>
              <w:t>Keynote Address: Bangladesh INDC, the Role of NAMAs and the Transport Sector</w:t>
            </w:r>
          </w:p>
        </w:tc>
        <w:tc>
          <w:tcPr>
            <w:tcW w:w="3758" w:type="dxa"/>
            <w:tcBorders>
              <w:top w:val="nil"/>
              <w:left w:val="nil"/>
              <w:bottom w:val="single" w:sz="8" w:space="0" w:color="auto"/>
              <w:right w:val="single" w:sz="8" w:space="0" w:color="auto"/>
            </w:tcBorders>
            <w:shd w:val="clear" w:color="auto" w:fill="auto"/>
            <w:vAlign w:val="center"/>
            <w:hideMark/>
          </w:tcPr>
          <w:p w:rsidR="00E83DA6" w:rsidRPr="00D62C6D" w:rsidRDefault="00E83DA6" w:rsidP="00926034">
            <w:pPr>
              <w:spacing w:after="0" w:line="240" w:lineRule="auto"/>
              <w:rPr>
                <w:rFonts w:ascii="Times New Roman" w:eastAsia="Times New Roman" w:hAnsi="Times New Roman"/>
              </w:rPr>
            </w:pPr>
            <w:r w:rsidRPr="00D62C6D">
              <w:rPr>
                <w:rFonts w:ascii="Times New Roman" w:eastAsia="Times New Roman" w:hAnsi="Times New Roman"/>
              </w:rPr>
              <w:t>Mr. Ziaul Haque, MOEF</w:t>
            </w:r>
          </w:p>
        </w:tc>
      </w:tr>
      <w:tr w:rsidR="00E83DA6" w:rsidRPr="00D62C6D" w:rsidTr="00926034">
        <w:trPr>
          <w:trHeight w:val="322"/>
        </w:trPr>
        <w:tc>
          <w:tcPr>
            <w:tcW w:w="8960" w:type="dxa"/>
            <w:gridSpan w:val="3"/>
            <w:tcBorders>
              <w:top w:val="nil"/>
              <w:left w:val="single" w:sz="8" w:space="0" w:color="auto"/>
              <w:bottom w:val="single" w:sz="8" w:space="0" w:color="auto"/>
              <w:right w:val="single" w:sz="8" w:space="0" w:color="auto"/>
            </w:tcBorders>
            <w:shd w:val="clear" w:color="auto" w:fill="FBD4B4"/>
            <w:vAlign w:val="center"/>
          </w:tcPr>
          <w:p w:rsidR="00E83DA6" w:rsidRPr="00D62C6D" w:rsidRDefault="00E83DA6" w:rsidP="00926034">
            <w:pPr>
              <w:spacing w:after="0" w:line="240" w:lineRule="auto"/>
              <w:jc w:val="center"/>
              <w:rPr>
                <w:rFonts w:ascii="Times New Roman" w:eastAsia="Times New Roman" w:hAnsi="Times New Roman"/>
              </w:rPr>
            </w:pPr>
            <w:r w:rsidRPr="00D62C6D">
              <w:rPr>
                <w:rFonts w:ascii="Times New Roman" w:eastAsia="Times New Roman" w:hAnsi="Times New Roman"/>
              </w:rPr>
              <w:t>Tea to be served during the above address</w:t>
            </w:r>
          </w:p>
        </w:tc>
      </w:tr>
      <w:tr w:rsidR="00E83DA6" w:rsidRPr="00D62C6D" w:rsidTr="00926034">
        <w:trPr>
          <w:trHeight w:val="915"/>
        </w:trPr>
        <w:tc>
          <w:tcPr>
            <w:tcW w:w="1512" w:type="dxa"/>
            <w:tcBorders>
              <w:top w:val="nil"/>
              <w:left w:val="single" w:sz="8" w:space="0" w:color="auto"/>
              <w:bottom w:val="single" w:sz="8" w:space="0" w:color="auto"/>
              <w:right w:val="single" w:sz="8" w:space="0" w:color="auto"/>
            </w:tcBorders>
            <w:shd w:val="clear" w:color="auto" w:fill="auto"/>
            <w:vAlign w:val="center"/>
            <w:hideMark/>
          </w:tcPr>
          <w:p w:rsidR="00E83DA6" w:rsidRPr="00D62C6D" w:rsidRDefault="00E83DA6" w:rsidP="00926034">
            <w:pPr>
              <w:spacing w:after="0" w:line="240" w:lineRule="auto"/>
              <w:rPr>
                <w:rFonts w:ascii="Times New Roman" w:eastAsia="Times New Roman" w:hAnsi="Times New Roman"/>
              </w:rPr>
            </w:pPr>
            <w:r w:rsidRPr="00D62C6D">
              <w:rPr>
                <w:rFonts w:ascii="Times New Roman" w:eastAsia="Times New Roman" w:hAnsi="Times New Roman"/>
              </w:rPr>
              <w:t>11.00 – 11.30</w:t>
            </w:r>
          </w:p>
        </w:tc>
        <w:tc>
          <w:tcPr>
            <w:tcW w:w="3690" w:type="dxa"/>
            <w:tcBorders>
              <w:top w:val="nil"/>
              <w:left w:val="nil"/>
              <w:bottom w:val="single" w:sz="8" w:space="0" w:color="auto"/>
              <w:right w:val="single" w:sz="8" w:space="0" w:color="auto"/>
            </w:tcBorders>
            <w:shd w:val="clear" w:color="auto" w:fill="auto"/>
            <w:vAlign w:val="center"/>
            <w:hideMark/>
          </w:tcPr>
          <w:p w:rsidR="00E83DA6" w:rsidRPr="00D62C6D" w:rsidRDefault="00E83DA6" w:rsidP="00926034">
            <w:pPr>
              <w:spacing w:after="0" w:line="240" w:lineRule="auto"/>
              <w:rPr>
                <w:rFonts w:ascii="Times New Roman" w:eastAsia="Times New Roman" w:hAnsi="Times New Roman"/>
              </w:rPr>
            </w:pPr>
            <w:r w:rsidRPr="00D62C6D">
              <w:rPr>
                <w:rFonts w:ascii="Times New Roman" w:eastAsia="Times New Roman" w:hAnsi="Times New Roman"/>
              </w:rPr>
              <w:t>Keynote Address: Railway Master Plan 2010-2030: Status and Prospects</w:t>
            </w:r>
          </w:p>
        </w:tc>
        <w:tc>
          <w:tcPr>
            <w:tcW w:w="3758" w:type="dxa"/>
            <w:tcBorders>
              <w:top w:val="nil"/>
              <w:left w:val="nil"/>
              <w:bottom w:val="single" w:sz="8" w:space="0" w:color="auto"/>
              <w:right w:val="single" w:sz="8" w:space="0" w:color="auto"/>
            </w:tcBorders>
            <w:shd w:val="clear" w:color="auto" w:fill="auto"/>
            <w:vAlign w:val="center"/>
            <w:hideMark/>
          </w:tcPr>
          <w:p w:rsidR="00E83DA6" w:rsidRPr="00D62C6D" w:rsidRDefault="00E83DA6" w:rsidP="00926034">
            <w:pPr>
              <w:spacing w:after="0" w:line="240" w:lineRule="auto"/>
              <w:rPr>
                <w:rFonts w:ascii="Times New Roman" w:eastAsia="Times New Roman" w:hAnsi="Times New Roman"/>
              </w:rPr>
            </w:pPr>
            <w:r w:rsidRPr="00D62C6D">
              <w:rPr>
                <w:rFonts w:ascii="Times New Roman" w:eastAsia="Times New Roman" w:hAnsi="Times New Roman"/>
              </w:rPr>
              <w:t>Md. Saidur Rahman, Additional Chief Engineer,</w:t>
            </w:r>
            <w:r w:rsidRPr="00D62C6D">
              <w:rPr>
                <w:rFonts w:ascii="Times New Roman" w:hAnsi="Times New Roman"/>
                <w:color w:val="000000"/>
                <w:shd w:val="clear" w:color="auto" w:fill="FFFFFF"/>
              </w:rPr>
              <w:t xml:space="preserve"> Bangladesh</w:t>
            </w:r>
            <w:r w:rsidRPr="00D62C6D">
              <w:rPr>
                <w:rFonts w:ascii="Times New Roman" w:eastAsia="Times New Roman" w:hAnsi="Times New Roman"/>
              </w:rPr>
              <w:t xml:space="preserve"> Railway.</w:t>
            </w:r>
          </w:p>
        </w:tc>
      </w:tr>
      <w:tr w:rsidR="00E83DA6" w:rsidRPr="00D62C6D" w:rsidTr="00926034">
        <w:trPr>
          <w:trHeight w:val="615"/>
        </w:trPr>
        <w:tc>
          <w:tcPr>
            <w:tcW w:w="1512" w:type="dxa"/>
            <w:tcBorders>
              <w:top w:val="nil"/>
              <w:left w:val="single" w:sz="8" w:space="0" w:color="auto"/>
              <w:bottom w:val="single" w:sz="8" w:space="0" w:color="auto"/>
              <w:right w:val="single" w:sz="8" w:space="0" w:color="auto"/>
            </w:tcBorders>
            <w:shd w:val="clear" w:color="auto" w:fill="auto"/>
            <w:vAlign w:val="center"/>
            <w:hideMark/>
          </w:tcPr>
          <w:p w:rsidR="00E83DA6" w:rsidRPr="00D62C6D" w:rsidRDefault="00E83DA6" w:rsidP="00926034">
            <w:pPr>
              <w:spacing w:after="0" w:line="240" w:lineRule="auto"/>
              <w:rPr>
                <w:rFonts w:ascii="Times New Roman" w:eastAsia="Times New Roman" w:hAnsi="Times New Roman"/>
              </w:rPr>
            </w:pPr>
            <w:r w:rsidRPr="00D62C6D">
              <w:rPr>
                <w:rFonts w:ascii="Times New Roman" w:eastAsia="Times New Roman" w:hAnsi="Times New Roman"/>
              </w:rPr>
              <w:t>11.30 – 12.15</w:t>
            </w:r>
          </w:p>
        </w:tc>
        <w:tc>
          <w:tcPr>
            <w:tcW w:w="3690" w:type="dxa"/>
            <w:tcBorders>
              <w:top w:val="nil"/>
              <w:left w:val="nil"/>
              <w:bottom w:val="single" w:sz="8" w:space="0" w:color="auto"/>
              <w:right w:val="single" w:sz="8" w:space="0" w:color="auto"/>
            </w:tcBorders>
            <w:shd w:val="clear" w:color="auto" w:fill="auto"/>
            <w:vAlign w:val="center"/>
            <w:hideMark/>
          </w:tcPr>
          <w:p w:rsidR="00E83DA6" w:rsidRPr="00D62C6D" w:rsidRDefault="00E83DA6" w:rsidP="00926034">
            <w:pPr>
              <w:spacing w:after="0" w:line="240" w:lineRule="auto"/>
              <w:rPr>
                <w:rFonts w:ascii="Times New Roman" w:eastAsia="Times New Roman" w:hAnsi="Times New Roman"/>
              </w:rPr>
            </w:pPr>
            <w:r w:rsidRPr="00D62C6D">
              <w:rPr>
                <w:rFonts w:ascii="Times New Roman" w:eastAsia="Times New Roman" w:hAnsi="Times New Roman"/>
              </w:rPr>
              <w:t>NAMA Rail Bangladesh</w:t>
            </w:r>
          </w:p>
        </w:tc>
        <w:tc>
          <w:tcPr>
            <w:tcW w:w="3758" w:type="dxa"/>
            <w:tcBorders>
              <w:top w:val="nil"/>
              <w:left w:val="nil"/>
              <w:bottom w:val="single" w:sz="8" w:space="0" w:color="auto"/>
              <w:right w:val="single" w:sz="8" w:space="0" w:color="auto"/>
            </w:tcBorders>
            <w:shd w:val="clear" w:color="auto" w:fill="auto"/>
            <w:vAlign w:val="center"/>
            <w:hideMark/>
          </w:tcPr>
          <w:p w:rsidR="00E83DA6" w:rsidRPr="00D62C6D" w:rsidRDefault="00E83DA6" w:rsidP="00926034">
            <w:pPr>
              <w:spacing w:after="0" w:line="240" w:lineRule="auto"/>
              <w:rPr>
                <w:rFonts w:ascii="Times New Roman" w:eastAsia="Times New Roman" w:hAnsi="Times New Roman"/>
              </w:rPr>
            </w:pPr>
            <w:r w:rsidRPr="00D62C6D">
              <w:rPr>
                <w:rFonts w:ascii="Times New Roman" w:eastAsia="Times New Roman" w:hAnsi="Times New Roman"/>
              </w:rPr>
              <w:t>J. Grutter, Grutter Consulting</w:t>
            </w:r>
          </w:p>
        </w:tc>
      </w:tr>
      <w:tr w:rsidR="00E83DA6" w:rsidRPr="00D62C6D" w:rsidTr="00926034">
        <w:trPr>
          <w:trHeight w:val="615"/>
        </w:trPr>
        <w:tc>
          <w:tcPr>
            <w:tcW w:w="1512" w:type="dxa"/>
            <w:tcBorders>
              <w:top w:val="nil"/>
              <w:left w:val="single" w:sz="8" w:space="0" w:color="auto"/>
              <w:bottom w:val="single" w:sz="8" w:space="0" w:color="auto"/>
              <w:right w:val="single" w:sz="8" w:space="0" w:color="auto"/>
            </w:tcBorders>
            <w:shd w:val="clear" w:color="auto" w:fill="auto"/>
            <w:vAlign w:val="center"/>
            <w:hideMark/>
          </w:tcPr>
          <w:p w:rsidR="00E83DA6" w:rsidRPr="00D62C6D" w:rsidRDefault="00E83DA6" w:rsidP="00926034">
            <w:pPr>
              <w:spacing w:after="0" w:line="240" w:lineRule="auto"/>
              <w:rPr>
                <w:rFonts w:ascii="Times New Roman" w:eastAsia="Times New Roman" w:hAnsi="Times New Roman"/>
              </w:rPr>
            </w:pPr>
            <w:r w:rsidRPr="00D62C6D">
              <w:rPr>
                <w:rFonts w:ascii="Times New Roman" w:eastAsia="Times New Roman" w:hAnsi="Times New Roman"/>
              </w:rPr>
              <w:t>12.15 – 13.00</w:t>
            </w:r>
          </w:p>
        </w:tc>
        <w:tc>
          <w:tcPr>
            <w:tcW w:w="3690" w:type="dxa"/>
            <w:tcBorders>
              <w:top w:val="nil"/>
              <w:left w:val="nil"/>
              <w:bottom w:val="single" w:sz="8" w:space="0" w:color="auto"/>
              <w:right w:val="single" w:sz="8" w:space="0" w:color="auto"/>
            </w:tcBorders>
            <w:shd w:val="clear" w:color="auto" w:fill="auto"/>
            <w:vAlign w:val="center"/>
            <w:hideMark/>
          </w:tcPr>
          <w:p w:rsidR="00E83DA6" w:rsidRPr="00D62C6D" w:rsidRDefault="00E83DA6" w:rsidP="00926034">
            <w:pPr>
              <w:spacing w:after="0" w:line="240" w:lineRule="auto"/>
              <w:rPr>
                <w:rFonts w:ascii="Times New Roman" w:eastAsia="Times New Roman" w:hAnsi="Times New Roman"/>
              </w:rPr>
            </w:pPr>
            <w:r w:rsidRPr="00D62C6D">
              <w:rPr>
                <w:rFonts w:ascii="Times New Roman" w:eastAsia="Times New Roman" w:hAnsi="Times New Roman"/>
              </w:rPr>
              <w:t>Discussion of Rail NAMA</w:t>
            </w:r>
          </w:p>
        </w:tc>
        <w:tc>
          <w:tcPr>
            <w:tcW w:w="3758" w:type="dxa"/>
            <w:tcBorders>
              <w:top w:val="nil"/>
              <w:left w:val="nil"/>
              <w:bottom w:val="single" w:sz="8" w:space="0" w:color="auto"/>
              <w:right w:val="single" w:sz="8" w:space="0" w:color="auto"/>
            </w:tcBorders>
            <w:shd w:val="clear" w:color="auto" w:fill="auto"/>
            <w:vAlign w:val="center"/>
            <w:hideMark/>
          </w:tcPr>
          <w:p w:rsidR="00E83DA6" w:rsidRPr="00D62C6D" w:rsidRDefault="00E83DA6" w:rsidP="00926034">
            <w:pPr>
              <w:spacing w:after="0" w:line="240" w:lineRule="auto"/>
              <w:rPr>
                <w:rFonts w:ascii="Times New Roman" w:eastAsia="Times New Roman" w:hAnsi="Times New Roman"/>
              </w:rPr>
            </w:pPr>
            <w:r w:rsidRPr="00D62C6D">
              <w:rPr>
                <w:rFonts w:ascii="Times New Roman" w:eastAsia="Times New Roman" w:hAnsi="Times New Roman"/>
              </w:rPr>
              <w:t>K. Yangzom, ADB</w:t>
            </w:r>
          </w:p>
        </w:tc>
      </w:tr>
      <w:tr w:rsidR="00E83DA6" w:rsidRPr="00D62C6D" w:rsidTr="00926034">
        <w:trPr>
          <w:trHeight w:val="385"/>
        </w:trPr>
        <w:tc>
          <w:tcPr>
            <w:tcW w:w="1512" w:type="dxa"/>
            <w:tcBorders>
              <w:top w:val="nil"/>
              <w:left w:val="single" w:sz="8" w:space="0" w:color="auto"/>
              <w:bottom w:val="single" w:sz="8" w:space="0" w:color="auto"/>
              <w:right w:val="single" w:sz="8" w:space="0" w:color="auto"/>
            </w:tcBorders>
            <w:shd w:val="clear" w:color="000000" w:fill="F7CAAC"/>
            <w:vAlign w:val="center"/>
            <w:hideMark/>
          </w:tcPr>
          <w:p w:rsidR="00E83DA6" w:rsidRPr="00D62C6D" w:rsidRDefault="00E83DA6" w:rsidP="00926034">
            <w:pPr>
              <w:spacing w:after="0" w:line="240" w:lineRule="auto"/>
              <w:rPr>
                <w:rFonts w:ascii="Times New Roman" w:eastAsia="Times New Roman" w:hAnsi="Times New Roman"/>
              </w:rPr>
            </w:pPr>
            <w:r w:rsidRPr="00D62C6D">
              <w:rPr>
                <w:rFonts w:ascii="Times New Roman" w:eastAsia="Times New Roman" w:hAnsi="Times New Roman"/>
              </w:rPr>
              <w:t xml:space="preserve">13.00 – 14.00 </w:t>
            </w:r>
          </w:p>
        </w:tc>
        <w:tc>
          <w:tcPr>
            <w:tcW w:w="7448" w:type="dxa"/>
            <w:gridSpan w:val="2"/>
            <w:tcBorders>
              <w:top w:val="single" w:sz="8" w:space="0" w:color="auto"/>
              <w:left w:val="nil"/>
              <w:bottom w:val="single" w:sz="8" w:space="0" w:color="auto"/>
              <w:right w:val="single" w:sz="8" w:space="0" w:color="000000"/>
            </w:tcBorders>
            <w:shd w:val="clear" w:color="000000" w:fill="F7CAAC"/>
            <w:vAlign w:val="center"/>
            <w:hideMark/>
          </w:tcPr>
          <w:p w:rsidR="00E83DA6" w:rsidRPr="00D62C6D" w:rsidRDefault="00E83DA6" w:rsidP="00926034">
            <w:pPr>
              <w:spacing w:after="0" w:line="240" w:lineRule="auto"/>
              <w:rPr>
                <w:rFonts w:ascii="Times New Roman" w:eastAsia="Times New Roman" w:hAnsi="Times New Roman"/>
              </w:rPr>
            </w:pPr>
            <w:r w:rsidRPr="00D62C6D">
              <w:rPr>
                <w:rFonts w:ascii="Times New Roman" w:eastAsia="Times New Roman" w:hAnsi="Times New Roman"/>
              </w:rPr>
              <w:t>Lunch</w:t>
            </w:r>
          </w:p>
        </w:tc>
      </w:tr>
    </w:tbl>
    <w:p w:rsidR="00E83DA6" w:rsidRPr="00AA092D" w:rsidRDefault="00E83DA6" w:rsidP="00E83DA6">
      <w:pPr>
        <w:spacing w:after="120"/>
        <w:ind w:left="-360" w:right="293"/>
        <w:jc w:val="both"/>
        <w:rPr>
          <w:lang w:val="en-US"/>
        </w:rPr>
      </w:pPr>
    </w:p>
    <w:p w:rsidR="00E83DA6" w:rsidRPr="00E83DA6" w:rsidRDefault="00E83DA6" w:rsidP="00E83DA6">
      <w:pPr>
        <w:spacing w:after="0" w:line="240" w:lineRule="auto"/>
        <w:ind w:left="-270"/>
        <w:rPr>
          <w:rFonts w:cstheme="minorHAnsi"/>
        </w:rPr>
      </w:pPr>
      <w:r w:rsidRPr="00E83DA6">
        <w:rPr>
          <w:rFonts w:cstheme="minorHAnsi"/>
        </w:rPr>
        <w:t>The morning session was opened by a welcome address from Md. Mozammel Hoque, General Manager of Bangladesh Railways (BR) and from Mr. Markus Roesner, Transport Specialist from the Asian Development Bank (ADB).</w:t>
      </w:r>
    </w:p>
    <w:p w:rsidR="00E83DA6" w:rsidRPr="00E83DA6" w:rsidRDefault="00E83DA6" w:rsidP="00E83DA6">
      <w:pPr>
        <w:spacing w:after="0" w:line="240" w:lineRule="auto"/>
        <w:ind w:left="-270"/>
        <w:rPr>
          <w:rFonts w:cstheme="minorHAnsi"/>
        </w:rPr>
      </w:pPr>
      <w:r w:rsidRPr="00E83DA6">
        <w:rPr>
          <w:rFonts w:cstheme="minorHAnsi"/>
        </w:rPr>
        <w:lastRenderedPageBreak/>
        <w:t>The first introductory presentation was from Nana Soetantry (ADB) and versed on the role of ADB in climate-related financing for sustainable transport programs. Following, keynote addresses from the Ministry of Environment and Forest (MOEF) and from the Bangladesh Railways were useful to set the stage of the discussion.</w:t>
      </w:r>
    </w:p>
    <w:p w:rsidR="00E83DA6" w:rsidRDefault="00E83DA6" w:rsidP="00E83DA6">
      <w:pPr>
        <w:spacing w:after="0" w:line="240" w:lineRule="auto"/>
        <w:ind w:left="-270"/>
        <w:rPr>
          <w:rFonts w:cstheme="minorHAnsi"/>
        </w:rPr>
      </w:pPr>
    </w:p>
    <w:p w:rsidR="00E83DA6" w:rsidRPr="00E83DA6" w:rsidRDefault="00E83DA6" w:rsidP="00E83DA6">
      <w:pPr>
        <w:spacing w:after="0" w:line="240" w:lineRule="auto"/>
        <w:ind w:left="-270"/>
        <w:rPr>
          <w:rFonts w:cstheme="minorHAnsi"/>
        </w:rPr>
      </w:pPr>
      <w:r w:rsidRPr="00E83DA6">
        <w:rPr>
          <w:rFonts w:cstheme="minorHAnsi"/>
        </w:rPr>
        <w:t>After that, Mr. Jurg Grutter from the Consultant team followed with a detailed presentation of the NAMA Rail Bangladesh, including the potential climate finance investment that could be requested under a NAMA framework. This session was followed by a long Q&amp;A session from the floor to finish the morning session.</w:t>
      </w:r>
    </w:p>
    <w:p w:rsidR="00E83DA6" w:rsidRDefault="00E83DA6" w:rsidP="00E83DA6">
      <w:pPr>
        <w:rPr>
          <w:b/>
          <w:lang w:val="en-US"/>
        </w:rPr>
      </w:pPr>
    </w:p>
    <w:p w:rsidR="00E83DA6" w:rsidRPr="00E83DA6" w:rsidRDefault="00E83DA6" w:rsidP="00E83DA6">
      <w:pPr>
        <w:rPr>
          <w:b/>
          <w:lang w:val="en-US"/>
        </w:rPr>
      </w:pPr>
      <w:r w:rsidRPr="00E83DA6">
        <w:rPr>
          <w:b/>
          <w:lang w:val="en-US"/>
        </w:rPr>
        <w:t>QUESTIONS &amp; ANSWERS / COMMENTS</w:t>
      </w:r>
    </w:p>
    <w:p w:rsidR="00E83DA6" w:rsidRPr="00E83DA6" w:rsidRDefault="00E83DA6" w:rsidP="00E83DA6">
      <w:pPr>
        <w:rPr>
          <w:i/>
          <w:lang w:val="en-US"/>
        </w:rPr>
      </w:pPr>
      <w:r w:rsidRPr="00E83DA6">
        <w:rPr>
          <w:i/>
          <w:lang w:val="en-US"/>
        </w:rPr>
        <w:t>Keynote Address on Bangladesh INDC and role of NAMAs (Md. Ziaul Haque, MOEF)</w:t>
      </w:r>
    </w:p>
    <w:p w:rsidR="00E83DA6" w:rsidRPr="00E83DA6" w:rsidRDefault="00E83DA6" w:rsidP="00E83DA6">
      <w:pPr>
        <w:pStyle w:val="ListParagraph"/>
        <w:numPr>
          <w:ilvl w:val="0"/>
          <w:numId w:val="32"/>
        </w:numPr>
        <w:spacing w:after="0" w:line="240" w:lineRule="auto"/>
        <w:ind w:left="-270" w:firstLine="0"/>
        <w:rPr>
          <w:rFonts w:asciiTheme="minorHAnsi" w:hAnsiTheme="minorHAnsi" w:cstheme="minorHAnsi"/>
          <w:lang w:val="en-GB"/>
        </w:rPr>
      </w:pPr>
      <w:r w:rsidRPr="00E83DA6">
        <w:rPr>
          <w:rFonts w:asciiTheme="minorHAnsi" w:hAnsiTheme="minorHAnsi" w:cstheme="minorHAnsi"/>
          <w:lang w:val="en-GB"/>
        </w:rPr>
        <w:t>Do you have a transport emission standard in Bangladesh? (Joint TG/Mechanical from BR)</w:t>
      </w:r>
    </w:p>
    <w:p w:rsidR="00E83DA6" w:rsidRPr="00E83DA6" w:rsidRDefault="00E83DA6" w:rsidP="00E83DA6">
      <w:pPr>
        <w:spacing w:after="0" w:line="240" w:lineRule="auto"/>
        <w:rPr>
          <w:rFonts w:cstheme="minorHAnsi"/>
        </w:rPr>
      </w:pPr>
      <w:r w:rsidRPr="00E83DA6">
        <w:rPr>
          <w:rFonts w:cstheme="minorHAnsi"/>
        </w:rPr>
        <w:t>A: currently there is no emission standard from MOEF. However</w:t>
      </w:r>
      <w:r>
        <w:rPr>
          <w:rFonts w:cstheme="minorHAnsi"/>
        </w:rPr>
        <w:t>,</w:t>
      </w:r>
      <w:r w:rsidRPr="00E83DA6">
        <w:rPr>
          <w:rFonts w:cstheme="minorHAnsi"/>
        </w:rPr>
        <w:t xml:space="preserve"> there are considering introducing national standards similar to EURO standards on fuels, but not on emissions but on fuel quality.</w:t>
      </w:r>
    </w:p>
    <w:p w:rsidR="00E83DA6" w:rsidRDefault="00E83DA6" w:rsidP="00E83DA6">
      <w:pPr>
        <w:rPr>
          <w:i/>
          <w:lang w:val="en-US"/>
        </w:rPr>
      </w:pPr>
    </w:p>
    <w:p w:rsidR="00E83DA6" w:rsidRPr="00E83DA6" w:rsidRDefault="00E83DA6" w:rsidP="00E83DA6">
      <w:pPr>
        <w:rPr>
          <w:i/>
          <w:lang w:val="en-US"/>
        </w:rPr>
      </w:pPr>
      <w:r w:rsidRPr="00E83DA6">
        <w:rPr>
          <w:i/>
          <w:lang w:val="en-US"/>
        </w:rPr>
        <w:t>Keynote Address on Bangladesh Railway (Md. Saidur Rahman, BR)</w:t>
      </w:r>
    </w:p>
    <w:p w:rsidR="00E83DA6" w:rsidRPr="00E83DA6" w:rsidRDefault="00E83DA6" w:rsidP="00E83DA6">
      <w:pPr>
        <w:pStyle w:val="ListParagraph"/>
        <w:numPr>
          <w:ilvl w:val="0"/>
          <w:numId w:val="34"/>
        </w:numPr>
        <w:spacing w:after="0" w:line="240" w:lineRule="auto"/>
        <w:ind w:left="0" w:hanging="270"/>
        <w:rPr>
          <w:rFonts w:asciiTheme="minorHAnsi" w:hAnsiTheme="minorHAnsi" w:cstheme="minorHAnsi"/>
          <w:lang w:val="en-GB"/>
        </w:rPr>
      </w:pPr>
      <w:r w:rsidRPr="00E83DA6">
        <w:rPr>
          <w:rFonts w:asciiTheme="minorHAnsi" w:hAnsiTheme="minorHAnsi" w:cstheme="minorHAnsi"/>
          <w:lang w:val="en-GB"/>
        </w:rPr>
        <w:t>Do you have a plan to improve intermodal connectivity (bus-railway)?</w:t>
      </w:r>
    </w:p>
    <w:p w:rsidR="00E83DA6" w:rsidRPr="00E83DA6" w:rsidRDefault="00E83DA6" w:rsidP="00E83DA6">
      <w:pPr>
        <w:spacing w:after="0" w:line="240" w:lineRule="auto"/>
        <w:rPr>
          <w:rFonts w:cstheme="minorHAnsi"/>
        </w:rPr>
      </w:pPr>
      <w:r w:rsidRPr="00E83DA6">
        <w:rPr>
          <w:rFonts w:cstheme="minorHAnsi"/>
        </w:rPr>
        <w:t>A: currently it is envisaged but there is no formal plan</w:t>
      </w:r>
    </w:p>
    <w:p w:rsidR="00E83DA6" w:rsidRPr="00E83DA6" w:rsidRDefault="00E83DA6" w:rsidP="00E83DA6">
      <w:pPr>
        <w:pStyle w:val="ListParagraph"/>
        <w:numPr>
          <w:ilvl w:val="0"/>
          <w:numId w:val="34"/>
        </w:numPr>
        <w:spacing w:after="0" w:line="240" w:lineRule="auto"/>
        <w:ind w:left="0" w:hanging="270"/>
        <w:rPr>
          <w:rFonts w:asciiTheme="minorHAnsi" w:hAnsiTheme="minorHAnsi" w:cstheme="minorHAnsi"/>
          <w:lang w:val="en-GB"/>
        </w:rPr>
      </w:pPr>
      <w:r w:rsidRPr="00E83DA6">
        <w:rPr>
          <w:rFonts w:asciiTheme="minorHAnsi" w:hAnsiTheme="minorHAnsi" w:cstheme="minorHAnsi"/>
          <w:lang w:val="en-GB"/>
        </w:rPr>
        <w:t>Do you have a plan to improve interaction with MRT and electric traction into BR?</w:t>
      </w:r>
    </w:p>
    <w:p w:rsidR="00E83DA6" w:rsidRPr="00E83DA6" w:rsidRDefault="00E83DA6" w:rsidP="00E83DA6">
      <w:pPr>
        <w:spacing w:after="0" w:line="240" w:lineRule="auto"/>
        <w:rPr>
          <w:rFonts w:cstheme="minorHAnsi"/>
        </w:rPr>
      </w:pPr>
      <w:r w:rsidRPr="00E83DA6">
        <w:rPr>
          <w:rFonts w:cstheme="minorHAnsi"/>
        </w:rPr>
        <w:t>A: they are good suggestions and they will be introduced in the future but currently there is still no formal plan and the capital investment is too high to tackle electrification of the railways.</w:t>
      </w:r>
    </w:p>
    <w:p w:rsidR="00E83DA6" w:rsidRDefault="00E83DA6" w:rsidP="00E83DA6">
      <w:pPr>
        <w:pStyle w:val="Heading6"/>
        <w:rPr>
          <w:rFonts w:asciiTheme="minorHAnsi" w:hAnsiTheme="minorHAnsi" w:cstheme="minorHAnsi"/>
          <w:lang w:val="en-US"/>
        </w:rPr>
      </w:pPr>
    </w:p>
    <w:p w:rsidR="00E83DA6" w:rsidRPr="00E83DA6" w:rsidRDefault="00E83DA6" w:rsidP="00E83DA6">
      <w:pPr>
        <w:rPr>
          <w:i/>
          <w:lang w:val="en-US"/>
        </w:rPr>
      </w:pPr>
      <w:r w:rsidRPr="00E83DA6">
        <w:rPr>
          <w:i/>
          <w:lang w:val="en-US"/>
        </w:rPr>
        <w:t>Presentation on NAMA Rail Bangladesh (Mr. Jurg Grutter, Grutter Consulting)</w:t>
      </w:r>
    </w:p>
    <w:p w:rsidR="00E83DA6" w:rsidRPr="00E83DA6" w:rsidRDefault="00E83DA6" w:rsidP="00E83DA6">
      <w:pPr>
        <w:pStyle w:val="ListParagraph"/>
        <w:numPr>
          <w:ilvl w:val="0"/>
          <w:numId w:val="33"/>
        </w:numPr>
        <w:spacing w:after="0" w:line="240" w:lineRule="auto"/>
        <w:ind w:left="0" w:hanging="270"/>
        <w:rPr>
          <w:rFonts w:asciiTheme="minorHAnsi" w:hAnsiTheme="minorHAnsi" w:cstheme="minorHAnsi"/>
          <w:lang w:val="en-GB"/>
        </w:rPr>
      </w:pPr>
      <w:r w:rsidRPr="00E83DA6">
        <w:rPr>
          <w:rFonts w:asciiTheme="minorHAnsi" w:hAnsiTheme="minorHAnsi" w:cstheme="minorHAnsi"/>
          <w:lang w:val="en-GB"/>
        </w:rPr>
        <w:t>Q: how much available NAMA finance there is for transport and how much the sector contributes to national NDC?</w:t>
      </w:r>
    </w:p>
    <w:p w:rsidR="00E83DA6" w:rsidRPr="00E83DA6" w:rsidRDefault="00E83DA6" w:rsidP="00E83DA6">
      <w:pPr>
        <w:spacing w:after="0" w:line="240" w:lineRule="auto"/>
        <w:rPr>
          <w:rFonts w:cstheme="minorHAnsi"/>
        </w:rPr>
      </w:pPr>
      <w:r w:rsidRPr="00E83DA6">
        <w:rPr>
          <w:rFonts w:cstheme="minorHAnsi"/>
        </w:rPr>
        <w:t>A (MOEF): the NAMA designs really can estimate their contribution to the transport target from the NDC. However, the transport contribution to the national NDC was done on a top-down fashion and therefore is a very crude/raw estimation of how much it will contribute to the global NDC target.</w:t>
      </w:r>
    </w:p>
    <w:p w:rsidR="00E83DA6" w:rsidRPr="00E83DA6" w:rsidRDefault="00E83DA6" w:rsidP="00E83DA6">
      <w:pPr>
        <w:pStyle w:val="ListParagraph"/>
        <w:numPr>
          <w:ilvl w:val="0"/>
          <w:numId w:val="33"/>
        </w:numPr>
        <w:spacing w:after="0" w:line="240" w:lineRule="auto"/>
        <w:ind w:left="0" w:hanging="270"/>
        <w:rPr>
          <w:rFonts w:asciiTheme="minorHAnsi" w:hAnsiTheme="minorHAnsi" w:cstheme="minorHAnsi"/>
          <w:lang w:val="en-GB"/>
        </w:rPr>
      </w:pPr>
      <w:r w:rsidRPr="00E83DA6">
        <w:rPr>
          <w:rFonts w:asciiTheme="minorHAnsi" w:hAnsiTheme="minorHAnsi" w:cstheme="minorHAnsi"/>
          <w:lang w:val="en-GB"/>
        </w:rPr>
        <w:t>Does the NAMA Rail calculations take into account maintenance and additional costs and emissions along the whole lifespan of the railroad?</w:t>
      </w:r>
    </w:p>
    <w:p w:rsidR="00E83DA6" w:rsidRPr="00E83DA6" w:rsidRDefault="00E83DA6" w:rsidP="00E83DA6">
      <w:pPr>
        <w:spacing w:after="0" w:line="240" w:lineRule="auto"/>
        <w:rPr>
          <w:rFonts w:cstheme="minorHAnsi"/>
        </w:rPr>
      </w:pPr>
      <w:r w:rsidRPr="00E83DA6">
        <w:rPr>
          <w:rFonts w:cstheme="minorHAnsi"/>
        </w:rPr>
        <w:t>A (Grutter): yes for tracks or roads, the lifespan is always including maintenance and CO2/GHG calculations keep track of that.</w:t>
      </w:r>
    </w:p>
    <w:p w:rsidR="00E83DA6" w:rsidRPr="00E83DA6" w:rsidRDefault="00E83DA6" w:rsidP="00E83DA6">
      <w:pPr>
        <w:pStyle w:val="ListParagraph"/>
        <w:numPr>
          <w:ilvl w:val="0"/>
          <w:numId w:val="33"/>
        </w:numPr>
        <w:spacing w:after="0" w:line="240" w:lineRule="auto"/>
        <w:ind w:left="0" w:hanging="270"/>
        <w:rPr>
          <w:rFonts w:asciiTheme="minorHAnsi" w:hAnsiTheme="minorHAnsi" w:cstheme="minorHAnsi"/>
          <w:lang w:val="en-GB"/>
        </w:rPr>
      </w:pPr>
      <w:r>
        <w:rPr>
          <w:rFonts w:asciiTheme="minorHAnsi" w:hAnsiTheme="minorHAnsi" w:cstheme="minorHAnsi"/>
          <w:lang w:val="en-GB"/>
        </w:rPr>
        <w:t>Comment on quality</w:t>
      </w:r>
      <w:r w:rsidRPr="00E83DA6">
        <w:rPr>
          <w:rFonts w:asciiTheme="minorHAnsi" w:hAnsiTheme="minorHAnsi" w:cstheme="minorHAnsi"/>
          <w:lang w:val="en-GB"/>
        </w:rPr>
        <w:t xml:space="preserve"> and fuel use</w:t>
      </w:r>
      <w:r>
        <w:rPr>
          <w:rFonts w:asciiTheme="minorHAnsi" w:hAnsiTheme="minorHAnsi" w:cstheme="minorHAnsi"/>
          <w:lang w:val="en-GB"/>
        </w:rPr>
        <w:t>d</w:t>
      </w:r>
      <w:r w:rsidRPr="00E83DA6">
        <w:rPr>
          <w:rFonts w:asciiTheme="minorHAnsi" w:hAnsiTheme="minorHAnsi" w:cstheme="minorHAnsi"/>
          <w:lang w:val="en-GB"/>
        </w:rPr>
        <w:t xml:space="preserve"> for rail, as well as the need to use sustainable rail but also road.</w:t>
      </w:r>
    </w:p>
    <w:p w:rsidR="00E83DA6" w:rsidRPr="00E83DA6" w:rsidRDefault="00E83DA6" w:rsidP="00E83DA6">
      <w:pPr>
        <w:spacing w:after="0" w:line="240" w:lineRule="auto"/>
        <w:rPr>
          <w:rFonts w:cstheme="minorHAnsi"/>
        </w:rPr>
      </w:pPr>
      <w:r w:rsidRPr="00E83DA6">
        <w:rPr>
          <w:rFonts w:cstheme="minorHAnsi"/>
        </w:rPr>
        <w:t>A (Mr. Grutter): The use of diesel PPMs in relation to sulphur is an air quality problem but not a GHG emission problem. However, lower quality diesel will have higher maintenance requirements, and therefore will impact in the long term and indirect in terms of higher maintenance (which if they are not met, will conduct to lower efficiency of engines and higher GHG emissions), as well as they hinder the introduction of more modern engines/technologies.</w:t>
      </w:r>
    </w:p>
    <w:p w:rsidR="00E83DA6" w:rsidRPr="00E83DA6" w:rsidRDefault="00E83DA6" w:rsidP="00E83DA6">
      <w:pPr>
        <w:spacing w:after="0" w:line="240" w:lineRule="auto"/>
        <w:rPr>
          <w:rFonts w:cstheme="minorHAnsi"/>
        </w:rPr>
      </w:pPr>
      <w:r w:rsidRPr="00E83DA6">
        <w:rPr>
          <w:rFonts w:cstheme="minorHAnsi"/>
        </w:rPr>
        <w:t>A (Md. Haque, MOEF): Added that the impact on health benefits/reduced air pollution can also be used as levers to attract climate and sustainable development finance.</w:t>
      </w:r>
    </w:p>
    <w:p w:rsidR="00E83DA6" w:rsidRPr="00E83DA6" w:rsidRDefault="00E83DA6" w:rsidP="00E83DA6">
      <w:pPr>
        <w:spacing w:after="0" w:line="240" w:lineRule="auto"/>
        <w:rPr>
          <w:rFonts w:cstheme="minorHAnsi"/>
        </w:rPr>
      </w:pPr>
      <w:r w:rsidRPr="00E83DA6">
        <w:rPr>
          <w:rFonts w:cstheme="minorHAnsi"/>
        </w:rPr>
        <w:t>A (Ms. Yangzom, ADB): rails and road are both important for development</w:t>
      </w:r>
    </w:p>
    <w:p w:rsidR="00E83DA6" w:rsidRPr="00E83DA6" w:rsidRDefault="00E83DA6" w:rsidP="00E83DA6">
      <w:pPr>
        <w:pStyle w:val="ListParagraph"/>
        <w:numPr>
          <w:ilvl w:val="0"/>
          <w:numId w:val="33"/>
        </w:numPr>
        <w:spacing w:after="0" w:line="240" w:lineRule="auto"/>
        <w:ind w:left="0" w:hanging="270"/>
        <w:rPr>
          <w:rFonts w:asciiTheme="minorHAnsi" w:hAnsiTheme="minorHAnsi" w:cstheme="minorHAnsi"/>
          <w:lang w:val="en-GB"/>
        </w:rPr>
      </w:pPr>
      <w:r w:rsidRPr="00E83DA6">
        <w:rPr>
          <w:rFonts w:asciiTheme="minorHAnsi" w:hAnsiTheme="minorHAnsi" w:cstheme="minorHAnsi"/>
          <w:lang w:val="en-GB"/>
        </w:rPr>
        <w:t>Q: how we have calculated the SD benefits and how black carbon and GHG emission have been calculated?</w:t>
      </w:r>
    </w:p>
    <w:p w:rsidR="00E83DA6" w:rsidRPr="00E83DA6" w:rsidRDefault="00E83DA6" w:rsidP="00E83DA6">
      <w:pPr>
        <w:spacing w:after="0" w:line="240" w:lineRule="auto"/>
        <w:rPr>
          <w:rFonts w:cstheme="minorHAnsi"/>
        </w:rPr>
      </w:pPr>
      <w:r w:rsidRPr="00E83DA6">
        <w:rPr>
          <w:rFonts w:cstheme="minorHAnsi"/>
        </w:rPr>
        <w:t xml:space="preserve">A (Grutter): The SD was broken down on NOX and PM emissions on truck and buses and compared to diesel use of rail through the use of COPERT model. The black carbon and GHG emissions also </w:t>
      </w:r>
      <w:r w:rsidRPr="00E83DA6">
        <w:rPr>
          <w:rFonts w:cstheme="minorHAnsi"/>
        </w:rPr>
        <w:lastRenderedPageBreak/>
        <w:t>used COPERT and results were not modelled after SNC but actually SNC is considered not very solid as it was done top-down (mostly Tier 2).</w:t>
      </w:r>
    </w:p>
    <w:p w:rsidR="00E83DA6" w:rsidRPr="00E83DA6" w:rsidRDefault="00E83DA6" w:rsidP="00E83DA6">
      <w:pPr>
        <w:pStyle w:val="ListParagraph"/>
        <w:numPr>
          <w:ilvl w:val="0"/>
          <w:numId w:val="33"/>
        </w:numPr>
        <w:spacing w:after="0" w:line="240" w:lineRule="auto"/>
        <w:ind w:left="0" w:hanging="270"/>
        <w:rPr>
          <w:rFonts w:asciiTheme="minorHAnsi" w:hAnsiTheme="minorHAnsi" w:cstheme="minorHAnsi"/>
          <w:lang w:val="en-GB"/>
        </w:rPr>
      </w:pPr>
      <w:r w:rsidRPr="00E83DA6">
        <w:rPr>
          <w:rFonts w:asciiTheme="minorHAnsi" w:hAnsiTheme="minorHAnsi" w:cstheme="minorHAnsi"/>
          <w:lang w:val="en-GB"/>
        </w:rPr>
        <w:t>Q: road vs. rail users: have they been compared and taken into account?</w:t>
      </w:r>
    </w:p>
    <w:p w:rsidR="00E83DA6" w:rsidRPr="00E83DA6" w:rsidRDefault="00E83DA6" w:rsidP="00E83DA6">
      <w:pPr>
        <w:spacing w:after="0" w:line="240" w:lineRule="auto"/>
        <w:rPr>
          <w:rFonts w:cstheme="minorHAnsi"/>
        </w:rPr>
      </w:pPr>
      <w:r w:rsidRPr="00E83DA6">
        <w:rPr>
          <w:rFonts w:cstheme="minorHAnsi"/>
        </w:rPr>
        <w:t>A (Grutter):No, they haven’t been consider however in economic and financial IRR and our financial calculations we incorporate the “costs” including total economic value costs so we in some way take into account the opportunity costs of investing on roads vs. rail. However is a good point and should be taken into a closer look in future steps.</w:t>
      </w:r>
    </w:p>
    <w:p w:rsidR="00E83DA6" w:rsidRPr="00E83DA6" w:rsidRDefault="00E83DA6" w:rsidP="00E83DA6">
      <w:pPr>
        <w:pStyle w:val="ListParagraph"/>
        <w:numPr>
          <w:ilvl w:val="0"/>
          <w:numId w:val="33"/>
        </w:numPr>
        <w:spacing w:after="0" w:line="240" w:lineRule="auto"/>
        <w:ind w:left="0" w:hanging="270"/>
        <w:rPr>
          <w:rFonts w:asciiTheme="minorHAnsi" w:hAnsiTheme="minorHAnsi" w:cstheme="minorHAnsi"/>
          <w:lang w:val="en-GB"/>
        </w:rPr>
      </w:pPr>
      <w:r w:rsidRPr="00E83DA6">
        <w:rPr>
          <w:rFonts w:asciiTheme="minorHAnsi" w:hAnsiTheme="minorHAnsi" w:cstheme="minorHAnsi"/>
          <w:lang w:val="en-GB"/>
        </w:rPr>
        <w:t>Q: climate finance will be very important and some estimates talk about 2 billion USD/year for Bangladesh. However, the estimation of the NAMA rail CF needs is only up to 350-450 mUSD. On</w:t>
      </w:r>
      <w:r>
        <w:rPr>
          <w:rFonts w:asciiTheme="minorHAnsi" w:hAnsiTheme="minorHAnsi" w:cstheme="minorHAnsi"/>
          <w:lang w:val="en-GB"/>
        </w:rPr>
        <w:t xml:space="preserve"> the other side, the requirement</w:t>
      </w:r>
      <w:r w:rsidRPr="00E83DA6">
        <w:rPr>
          <w:rFonts w:asciiTheme="minorHAnsi" w:hAnsiTheme="minorHAnsi" w:cstheme="minorHAnsi"/>
          <w:lang w:val="en-GB"/>
        </w:rPr>
        <w:t>s for a NAMA in terms of MRV capabilities etc. we have to be aware that Bangladesh has really limited capacity, so this will have to be taken into account.</w:t>
      </w:r>
    </w:p>
    <w:p w:rsidR="00E83DA6" w:rsidRPr="00E83DA6" w:rsidRDefault="00E83DA6" w:rsidP="00E83DA6">
      <w:pPr>
        <w:spacing w:after="0" w:line="240" w:lineRule="auto"/>
        <w:rPr>
          <w:rFonts w:cstheme="minorHAnsi"/>
        </w:rPr>
      </w:pPr>
      <w:r w:rsidRPr="00E83DA6">
        <w:rPr>
          <w:rFonts w:cstheme="minorHAnsi"/>
        </w:rPr>
        <w:t>A (Ms. Yangzom, ADB): capacity building on MRV GHG and SD is very important. As Nana’s presentation showed, ADB is also a knowledge bank and the Railway TA has a capacity buil</w:t>
      </w:r>
      <w:r>
        <w:rPr>
          <w:rFonts w:cstheme="minorHAnsi"/>
        </w:rPr>
        <w:t>ding component which can also co</w:t>
      </w:r>
      <w:r w:rsidRPr="00E83DA6">
        <w:rPr>
          <w:rFonts w:cstheme="minorHAnsi"/>
        </w:rPr>
        <w:t>ntribute.</w:t>
      </w:r>
    </w:p>
    <w:p w:rsidR="00E83DA6" w:rsidRPr="00E83DA6" w:rsidRDefault="00E83DA6" w:rsidP="00E83DA6">
      <w:pPr>
        <w:spacing w:after="0" w:line="240" w:lineRule="auto"/>
        <w:rPr>
          <w:rFonts w:cstheme="minorHAnsi"/>
        </w:rPr>
      </w:pPr>
      <w:r w:rsidRPr="00E83DA6">
        <w:rPr>
          <w:rFonts w:cstheme="minorHAnsi"/>
        </w:rPr>
        <w:t>A (MOEF): currently MOEF is trying to getting GCF accreditation and for that will need to develop capacities on MRV. National agencies need to also be involved and training opportunities will be on the table for national agencies through enhanced GCF and UNFCCC support.</w:t>
      </w:r>
    </w:p>
    <w:p w:rsidR="00E83DA6" w:rsidRPr="00E83DA6" w:rsidRDefault="00E83DA6" w:rsidP="00E83DA6">
      <w:pPr>
        <w:pStyle w:val="ListParagraph"/>
        <w:numPr>
          <w:ilvl w:val="0"/>
          <w:numId w:val="33"/>
        </w:numPr>
        <w:spacing w:after="0" w:line="240" w:lineRule="auto"/>
        <w:ind w:left="0" w:hanging="270"/>
        <w:rPr>
          <w:rFonts w:asciiTheme="minorHAnsi" w:hAnsiTheme="minorHAnsi" w:cstheme="minorHAnsi"/>
        </w:rPr>
      </w:pPr>
      <w:r w:rsidRPr="00E83DA6">
        <w:rPr>
          <w:rFonts w:asciiTheme="minorHAnsi" w:hAnsiTheme="minorHAnsi" w:cstheme="minorHAnsi"/>
          <w:lang w:val="en-GB"/>
        </w:rPr>
        <w:t xml:space="preserve">Q: Road shipping has an “economic speed” that optimizes costs and emissions. </w:t>
      </w:r>
      <w:r w:rsidRPr="00E83DA6">
        <w:rPr>
          <w:rFonts w:asciiTheme="minorHAnsi" w:hAnsiTheme="minorHAnsi" w:cstheme="minorHAnsi"/>
        </w:rPr>
        <w:t>Is this something that exists for rail?</w:t>
      </w:r>
    </w:p>
    <w:p w:rsidR="00E83DA6" w:rsidRPr="00E83DA6" w:rsidRDefault="00E83DA6" w:rsidP="00E83DA6">
      <w:pPr>
        <w:spacing w:after="0" w:line="240" w:lineRule="auto"/>
        <w:rPr>
          <w:rFonts w:cstheme="minorHAnsi"/>
        </w:rPr>
      </w:pPr>
      <w:r w:rsidRPr="00E83DA6">
        <w:rPr>
          <w:rFonts w:cstheme="minorHAnsi"/>
        </w:rPr>
        <w:t>A (BR): Maximum speed is depending on the network however the best speed is not usually related to GHG emissions.</w:t>
      </w:r>
    </w:p>
    <w:p w:rsidR="00E83DA6" w:rsidRPr="00E83DA6" w:rsidRDefault="00E83DA6" w:rsidP="00E83DA6">
      <w:pPr>
        <w:spacing w:after="0" w:line="240" w:lineRule="auto"/>
        <w:rPr>
          <w:rFonts w:cstheme="minorHAnsi"/>
        </w:rPr>
      </w:pPr>
      <w:r w:rsidRPr="00E83DA6">
        <w:rPr>
          <w:rFonts w:cstheme="minorHAnsi"/>
        </w:rPr>
        <w:t>A (Grutter): GHG cannot override economic conditions, so the important thing is that you demonstrate that at the best economic speed.</w:t>
      </w:r>
    </w:p>
    <w:p w:rsidR="00E83DA6" w:rsidRPr="00E83DA6" w:rsidRDefault="00E83DA6" w:rsidP="00E83DA6">
      <w:pPr>
        <w:pStyle w:val="ListParagraph"/>
        <w:numPr>
          <w:ilvl w:val="0"/>
          <w:numId w:val="33"/>
        </w:numPr>
        <w:spacing w:after="0" w:line="240" w:lineRule="auto"/>
        <w:ind w:left="0" w:hanging="270"/>
        <w:rPr>
          <w:rFonts w:asciiTheme="minorHAnsi" w:hAnsiTheme="minorHAnsi" w:cstheme="minorHAnsi"/>
          <w:lang w:val="en-GB"/>
        </w:rPr>
      </w:pPr>
      <w:r w:rsidRPr="00E83DA6">
        <w:rPr>
          <w:rFonts w:asciiTheme="minorHAnsi" w:hAnsiTheme="minorHAnsi" w:cstheme="minorHAnsi"/>
          <w:lang w:val="en-GB"/>
        </w:rPr>
        <w:t>Q: Are there adaptation measures in the railway sector?</w:t>
      </w:r>
    </w:p>
    <w:p w:rsidR="00E83DA6" w:rsidRPr="00E83DA6" w:rsidRDefault="00E83DA6" w:rsidP="00E83DA6">
      <w:pPr>
        <w:spacing w:after="0" w:line="240" w:lineRule="auto"/>
        <w:rPr>
          <w:rFonts w:cstheme="minorHAnsi"/>
        </w:rPr>
      </w:pPr>
      <w:r w:rsidRPr="00E83DA6">
        <w:rPr>
          <w:rFonts w:cstheme="minorHAnsi"/>
        </w:rPr>
        <w:t xml:space="preserve">A (Grutter): NAMA focus is on mitigation, adaptation measures are definitely important but they are not the focus of NAMAs. NAPAs (National Adaptation Plan of Actions) are the vehicle for climate proofing. </w:t>
      </w:r>
    </w:p>
    <w:p w:rsidR="00E83DA6" w:rsidRPr="00E83DA6" w:rsidRDefault="00E83DA6" w:rsidP="00E83DA6">
      <w:pPr>
        <w:spacing w:after="0" w:line="240" w:lineRule="auto"/>
        <w:rPr>
          <w:rFonts w:cstheme="minorHAnsi"/>
        </w:rPr>
      </w:pPr>
      <w:r w:rsidRPr="00E83DA6">
        <w:rPr>
          <w:rFonts w:cstheme="minorHAnsi"/>
        </w:rPr>
        <w:t>A (Ms. Yangzom, ADB): ADB is also financing adapt</w:t>
      </w:r>
      <w:r>
        <w:rPr>
          <w:rFonts w:cstheme="minorHAnsi"/>
        </w:rPr>
        <w:t>ation and in Banglade</w:t>
      </w:r>
      <w:r w:rsidRPr="00E83DA6">
        <w:rPr>
          <w:rFonts w:cstheme="minorHAnsi"/>
        </w:rPr>
        <w:t>s</w:t>
      </w:r>
      <w:r>
        <w:rPr>
          <w:rFonts w:cstheme="minorHAnsi"/>
        </w:rPr>
        <w:t>h</w:t>
      </w:r>
      <w:r w:rsidRPr="00E83DA6">
        <w:rPr>
          <w:rFonts w:cstheme="minorHAnsi"/>
        </w:rPr>
        <w:t xml:space="preserve"> indeed adaptation </w:t>
      </w:r>
    </w:p>
    <w:p w:rsidR="00E83DA6" w:rsidRPr="00E83DA6" w:rsidRDefault="00E83DA6" w:rsidP="00E83DA6">
      <w:pPr>
        <w:pStyle w:val="ListParagraph"/>
        <w:numPr>
          <w:ilvl w:val="0"/>
          <w:numId w:val="33"/>
        </w:numPr>
        <w:spacing w:after="0" w:line="240" w:lineRule="auto"/>
        <w:ind w:left="0" w:hanging="270"/>
        <w:rPr>
          <w:rFonts w:asciiTheme="minorHAnsi" w:hAnsiTheme="minorHAnsi" w:cstheme="minorHAnsi"/>
          <w:lang w:val="en-GB"/>
        </w:rPr>
      </w:pPr>
      <w:r w:rsidRPr="00E83DA6">
        <w:rPr>
          <w:rFonts w:asciiTheme="minorHAnsi" w:hAnsiTheme="minorHAnsi" w:cstheme="minorHAnsi"/>
          <w:lang w:val="en-GB"/>
        </w:rPr>
        <w:t xml:space="preserve">Q: Engines need to be upgraded from Tier 0 to Tier 2 or Tier 3 engines. This is not reflected in the NAMA design. Also, the higher sulphur and PM is not taken into account in relation to mid-term impact on GHG emission increase. </w:t>
      </w:r>
    </w:p>
    <w:p w:rsidR="00E83DA6" w:rsidRPr="00E83DA6" w:rsidRDefault="00E83DA6" w:rsidP="00E83DA6">
      <w:pPr>
        <w:spacing w:after="0" w:line="240" w:lineRule="auto"/>
        <w:rPr>
          <w:rFonts w:cstheme="minorHAnsi"/>
        </w:rPr>
      </w:pPr>
      <w:r w:rsidRPr="00E83DA6">
        <w:rPr>
          <w:rFonts w:cstheme="minorHAnsi"/>
        </w:rPr>
        <w:t>A (MOEF): Tier 0 is the current baseline and BAU is Tier 1, however upgrade to Tier 2 and 3 is not currently envisaged under BAU.</w:t>
      </w:r>
    </w:p>
    <w:p w:rsidR="00E83DA6" w:rsidRDefault="00E83DA6" w:rsidP="00E83DA6">
      <w:pPr>
        <w:spacing w:after="0" w:line="240" w:lineRule="auto"/>
        <w:rPr>
          <w:rFonts w:cstheme="minorHAnsi"/>
        </w:rPr>
      </w:pPr>
      <w:r w:rsidRPr="00E83DA6">
        <w:rPr>
          <w:rFonts w:cstheme="minorHAnsi"/>
        </w:rPr>
        <w:t>A (Ms. Yangzom, ADB): ADB is also financing adaptation in transport (i.e. climate-proofing transport infrastructure) and in Bangladesh indeed adaptation has to be one of the great priorities.</w:t>
      </w:r>
    </w:p>
    <w:p w:rsidR="00E83DA6" w:rsidRDefault="00E83DA6" w:rsidP="00E83DA6">
      <w:pPr>
        <w:spacing w:after="0" w:line="240" w:lineRule="auto"/>
        <w:rPr>
          <w:rFonts w:cstheme="minorHAnsi"/>
        </w:rPr>
      </w:pPr>
      <w:r w:rsidRPr="00E83DA6">
        <w:rPr>
          <w:rFonts w:cstheme="minorHAnsi"/>
          <w:noProof/>
          <w:lang w:eastAsia="en-GB"/>
        </w:rPr>
        <w:lastRenderedPageBreak/>
        <w:drawing>
          <wp:inline distT="0" distB="0" distL="0" distR="0">
            <wp:extent cx="5731510" cy="3985503"/>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31510" cy="3985503"/>
                    </a:xfrm>
                    <a:prstGeom prst="rect">
                      <a:avLst/>
                    </a:prstGeom>
                    <a:noFill/>
                    <a:ln>
                      <a:noFill/>
                    </a:ln>
                  </pic:spPr>
                </pic:pic>
              </a:graphicData>
            </a:graphic>
          </wp:inline>
        </w:drawing>
      </w:r>
    </w:p>
    <w:p w:rsidR="00E83DA6" w:rsidRDefault="00E83DA6" w:rsidP="00E83DA6">
      <w:pPr>
        <w:spacing w:after="0" w:line="240" w:lineRule="auto"/>
        <w:rPr>
          <w:rFonts w:cstheme="minorHAnsi"/>
        </w:rPr>
      </w:pPr>
      <w:r w:rsidRPr="00E83DA6">
        <w:rPr>
          <w:rFonts w:cstheme="minorHAnsi"/>
          <w:noProof/>
          <w:lang w:eastAsia="en-GB"/>
        </w:rPr>
        <w:drawing>
          <wp:inline distT="0" distB="0" distL="0" distR="0">
            <wp:extent cx="5731510" cy="3638787"/>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1510" cy="3638787"/>
                    </a:xfrm>
                    <a:prstGeom prst="rect">
                      <a:avLst/>
                    </a:prstGeom>
                    <a:noFill/>
                    <a:ln>
                      <a:noFill/>
                    </a:ln>
                  </pic:spPr>
                </pic:pic>
              </a:graphicData>
            </a:graphic>
          </wp:inline>
        </w:drawing>
      </w:r>
    </w:p>
    <w:p w:rsidR="00E83DA6" w:rsidRDefault="00E83DA6" w:rsidP="00E83DA6">
      <w:pPr>
        <w:spacing w:after="0" w:line="240" w:lineRule="auto"/>
        <w:rPr>
          <w:rFonts w:cstheme="minorHAnsi"/>
        </w:rPr>
      </w:pPr>
      <w:r w:rsidRPr="00E83DA6">
        <w:rPr>
          <w:rFonts w:cstheme="minorHAnsi"/>
          <w:noProof/>
          <w:lang w:eastAsia="en-GB"/>
        </w:rPr>
        <w:lastRenderedPageBreak/>
        <w:drawing>
          <wp:inline distT="0" distB="0" distL="0" distR="0">
            <wp:extent cx="5731510" cy="3645692"/>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1510" cy="3645692"/>
                    </a:xfrm>
                    <a:prstGeom prst="rect">
                      <a:avLst/>
                    </a:prstGeom>
                    <a:noFill/>
                    <a:ln>
                      <a:noFill/>
                    </a:ln>
                  </pic:spPr>
                </pic:pic>
              </a:graphicData>
            </a:graphic>
          </wp:inline>
        </w:drawing>
      </w:r>
    </w:p>
    <w:p w:rsidR="00E83DA6" w:rsidRDefault="00E83DA6" w:rsidP="00E83DA6">
      <w:pPr>
        <w:spacing w:after="0" w:line="240" w:lineRule="auto"/>
        <w:rPr>
          <w:rFonts w:cstheme="minorHAnsi"/>
        </w:rPr>
      </w:pPr>
      <w:r w:rsidRPr="00E83DA6">
        <w:rPr>
          <w:rFonts w:cstheme="minorHAnsi"/>
          <w:noProof/>
          <w:lang w:eastAsia="en-GB"/>
        </w:rPr>
        <w:drawing>
          <wp:inline distT="0" distB="0" distL="0" distR="0">
            <wp:extent cx="5731510" cy="1319638"/>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1510" cy="1319638"/>
                    </a:xfrm>
                    <a:prstGeom prst="rect">
                      <a:avLst/>
                    </a:prstGeom>
                    <a:noFill/>
                    <a:ln>
                      <a:noFill/>
                    </a:ln>
                  </pic:spPr>
                </pic:pic>
              </a:graphicData>
            </a:graphic>
          </wp:inline>
        </w:drawing>
      </w:r>
    </w:p>
    <w:p w:rsidR="00E83DA6" w:rsidRDefault="00E83DA6" w:rsidP="00E83DA6">
      <w:pPr>
        <w:spacing w:after="0" w:line="240" w:lineRule="auto"/>
        <w:rPr>
          <w:rFonts w:cstheme="minorHAnsi"/>
        </w:rPr>
      </w:pPr>
      <w:r w:rsidRPr="00E83DA6">
        <w:rPr>
          <w:rFonts w:cstheme="minorHAnsi"/>
          <w:noProof/>
          <w:lang w:eastAsia="en-GB"/>
        </w:rPr>
        <w:drawing>
          <wp:inline distT="0" distB="0" distL="0" distR="0">
            <wp:extent cx="5731510" cy="3730498"/>
            <wp:effectExtent l="0" t="0" r="254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1510" cy="3730498"/>
                    </a:xfrm>
                    <a:prstGeom prst="rect">
                      <a:avLst/>
                    </a:prstGeom>
                    <a:noFill/>
                    <a:ln>
                      <a:noFill/>
                    </a:ln>
                  </pic:spPr>
                </pic:pic>
              </a:graphicData>
            </a:graphic>
          </wp:inline>
        </w:drawing>
      </w:r>
    </w:p>
    <w:p w:rsidR="00E83DA6" w:rsidRDefault="00E83DA6" w:rsidP="00E83DA6">
      <w:pPr>
        <w:spacing w:after="0" w:line="240" w:lineRule="auto"/>
        <w:rPr>
          <w:rFonts w:cstheme="minorHAnsi"/>
        </w:rPr>
      </w:pPr>
      <w:r w:rsidRPr="00E83DA6">
        <w:rPr>
          <w:rFonts w:cstheme="minorHAnsi"/>
          <w:noProof/>
          <w:lang w:eastAsia="en-GB"/>
        </w:rPr>
        <w:lastRenderedPageBreak/>
        <w:drawing>
          <wp:inline distT="0" distB="0" distL="0" distR="0">
            <wp:extent cx="5731510" cy="3710526"/>
            <wp:effectExtent l="0" t="0" r="254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3710526"/>
                    </a:xfrm>
                    <a:prstGeom prst="rect">
                      <a:avLst/>
                    </a:prstGeom>
                    <a:noFill/>
                    <a:ln>
                      <a:noFill/>
                    </a:ln>
                  </pic:spPr>
                </pic:pic>
              </a:graphicData>
            </a:graphic>
          </wp:inline>
        </w:drawing>
      </w:r>
    </w:p>
    <w:p w:rsidR="00E83DA6" w:rsidRDefault="00E83DA6" w:rsidP="00E83DA6">
      <w:pPr>
        <w:spacing w:after="0" w:line="240" w:lineRule="auto"/>
        <w:rPr>
          <w:rFonts w:cstheme="minorHAnsi"/>
        </w:rPr>
      </w:pPr>
      <w:r w:rsidRPr="00E83DA6">
        <w:rPr>
          <w:rFonts w:cstheme="minorHAnsi"/>
          <w:noProof/>
          <w:lang w:eastAsia="en-GB"/>
        </w:rPr>
        <w:drawing>
          <wp:inline distT="0" distB="0" distL="0" distR="0">
            <wp:extent cx="5731510" cy="3652097"/>
            <wp:effectExtent l="0" t="0" r="254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31510" cy="3652097"/>
                    </a:xfrm>
                    <a:prstGeom prst="rect">
                      <a:avLst/>
                    </a:prstGeom>
                    <a:noFill/>
                    <a:ln>
                      <a:noFill/>
                    </a:ln>
                  </pic:spPr>
                </pic:pic>
              </a:graphicData>
            </a:graphic>
          </wp:inline>
        </w:drawing>
      </w:r>
    </w:p>
    <w:p w:rsidR="00E83DA6" w:rsidRDefault="00E83DA6" w:rsidP="00E83DA6">
      <w:pPr>
        <w:spacing w:after="0" w:line="240" w:lineRule="auto"/>
        <w:rPr>
          <w:rFonts w:cstheme="minorHAnsi"/>
        </w:rPr>
      </w:pPr>
      <w:r w:rsidRPr="00E83DA6">
        <w:rPr>
          <w:rFonts w:cstheme="minorHAnsi"/>
          <w:noProof/>
          <w:lang w:eastAsia="en-GB"/>
        </w:rPr>
        <w:lastRenderedPageBreak/>
        <w:drawing>
          <wp:inline distT="0" distB="0" distL="0" distR="0">
            <wp:extent cx="5731510" cy="3608441"/>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31510" cy="3608441"/>
                    </a:xfrm>
                    <a:prstGeom prst="rect">
                      <a:avLst/>
                    </a:prstGeom>
                    <a:noFill/>
                    <a:ln>
                      <a:noFill/>
                    </a:ln>
                  </pic:spPr>
                </pic:pic>
              </a:graphicData>
            </a:graphic>
          </wp:inline>
        </w:drawing>
      </w:r>
    </w:p>
    <w:p w:rsidR="00E83DA6" w:rsidRDefault="00E83DA6" w:rsidP="00E83DA6">
      <w:pPr>
        <w:spacing w:after="0" w:line="240" w:lineRule="auto"/>
        <w:rPr>
          <w:rFonts w:cstheme="minorHAnsi"/>
        </w:rPr>
      </w:pPr>
    </w:p>
    <w:p w:rsidR="00E83DA6" w:rsidRPr="00E83DA6" w:rsidRDefault="00E83DA6" w:rsidP="00E83DA6">
      <w:pPr>
        <w:spacing w:after="0" w:line="240" w:lineRule="auto"/>
        <w:rPr>
          <w:rFonts w:cstheme="minorHAnsi"/>
        </w:rPr>
      </w:pPr>
      <w:r w:rsidRPr="00E83DA6">
        <w:rPr>
          <w:rFonts w:cstheme="minorHAnsi"/>
          <w:noProof/>
          <w:lang w:eastAsia="en-GB"/>
        </w:rPr>
        <w:drawing>
          <wp:inline distT="0" distB="0" distL="0" distR="0">
            <wp:extent cx="5731510" cy="3685475"/>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1510" cy="3685475"/>
                    </a:xfrm>
                    <a:prstGeom prst="rect">
                      <a:avLst/>
                    </a:prstGeom>
                    <a:noFill/>
                    <a:ln>
                      <a:noFill/>
                    </a:ln>
                  </pic:spPr>
                </pic:pic>
              </a:graphicData>
            </a:graphic>
          </wp:inline>
        </w:drawing>
      </w:r>
    </w:p>
    <w:p w:rsidR="00AE23C4" w:rsidRDefault="00E83DA6" w:rsidP="00813BB5">
      <w:pPr>
        <w:pStyle w:val="Heading1"/>
      </w:pPr>
      <w:r>
        <w:br w:type="column"/>
      </w:r>
      <w:bookmarkStart w:id="58" w:name="_Toc466207384"/>
      <w:r w:rsidR="00813BB5">
        <w:lastRenderedPageBreak/>
        <w:t>References</w:t>
      </w:r>
      <w:bookmarkEnd w:id="58"/>
    </w:p>
    <w:p w:rsidR="00813BB5" w:rsidRPr="00813BB5" w:rsidRDefault="00813BB5" w:rsidP="00813BB5"/>
    <w:p w:rsidR="00391B6D" w:rsidRDefault="00391B6D" w:rsidP="00813BB5">
      <w:pPr>
        <w:rPr>
          <w:sz w:val="20"/>
          <w:szCs w:val="20"/>
        </w:rPr>
      </w:pPr>
      <w:r>
        <w:rPr>
          <w:sz w:val="20"/>
          <w:szCs w:val="20"/>
        </w:rPr>
        <w:t xml:space="preserve">BRTA (2008), </w:t>
      </w:r>
      <w:r w:rsidRPr="00391B6D">
        <w:rPr>
          <w:sz w:val="20"/>
          <w:szCs w:val="20"/>
        </w:rPr>
        <w:t>RTA Annual Report 2008</w:t>
      </w:r>
    </w:p>
    <w:p w:rsidR="00B63622" w:rsidRDefault="00B63622" w:rsidP="00813BB5">
      <w:pPr>
        <w:rPr>
          <w:sz w:val="20"/>
          <w:szCs w:val="20"/>
        </w:rPr>
      </w:pPr>
      <w:r w:rsidRPr="00B63622">
        <w:rPr>
          <w:sz w:val="20"/>
          <w:szCs w:val="20"/>
        </w:rPr>
        <w:t>California Energy Commission (CEC)</w:t>
      </w:r>
      <w:r>
        <w:rPr>
          <w:sz w:val="20"/>
          <w:szCs w:val="20"/>
        </w:rPr>
        <w:t xml:space="preserve"> (2007), </w:t>
      </w:r>
      <w:r w:rsidRPr="00B63622">
        <w:rPr>
          <w:sz w:val="20"/>
          <w:szCs w:val="20"/>
        </w:rPr>
        <w:t>Full Fuel Cycle Assessment Well to Tank Energy Inputs, Emissions, and Water Impacts</w:t>
      </w:r>
    </w:p>
    <w:p w:rsidR="00C707AE" w:rsidRDefault="00C707AE" w:rsidP="00813BB5">
      <w:pPr>
        <w:rPr>
          <w:sz w:val="20"/>
          <w:szCs w:val="20"/>
        </w:rPr>
      </w:pPr>
      <w:r>
        <w:rPr>
          <w:sz w:val="20"/>
          <w:szCs w:val="20"/>
        </w:rPr>
        <w:t xml:space="preserve">EMEP/EEA (2014), </w:t>
      </w:r>
      <w:r w:rsidRPr="00C707AE">
        <w:rPr>
          <w:sz w:val="20"/>
          <w:szCs w:val="20"/>
        </w:rPr>
        <w:t xml:space="preserve">Corinair Emission Inventory Guidebook </w:t>
      </w:r>
      <w:r>
        <w:rPr>
          <w:sz w:val="20"/>
          <w:szCs w:val="20"/>
        </w:rPr>
        <w:t>(COPERT Model)</w:t>
      </w:r>
    </w:p>
    <w:p w:rsidR="006B1282" w:rsidRDefault="006B1282" w:rsidP="00813BB5">
      <w:pPr>
        <w:rPr>
          <w:sz w:val="20"/>
          <w:szCs w:val="20"/>
        </w:rPr>
      </w:pPr>
      <w:r w:rsidRPr="006B1282">
        <w:rPr>
          <w:sz w:val="20"/>
          <w:szCs w:val="20"/>
        </w:rPr>
        <w:t>EUPave</w:t>
      </w:r>
      <w:r>
        <w:rPr>
          <w:sz w:val="20"/>
          <w:szCs w:val="20"/>
        </w:rPr>
        <w:t xml:space="preserve"> (2011)</w:t>
      </w:r>
      <w:r w:rsidRPr="006B1282">
        <w:rPr>
          <w:sz w:val="20"/>
          <w:szCs w:val="20"/>
        </w:rPr>
        <w:t>, Life Cycle Assessment for Road Construction and Use</w:t>
      </w:r>
    </w:p>
    <w:p w:rsidR="00B63622" w:rsidRDefault="00B63622" w:rsidP="00813BB5">
      <w:pPr>
        <w:rPr>
          <w:sz w:val="20"/>
          <w:szCs w:val="20"/>
        </w:rPr>
      </w:pPr>
      <w:r w:rsidRPr="00B63622">
        <w:rPr>
          <w:sz w:val="20"/>
          <w:szCs w:val="20"/>
        </w:rPr>
        <w:t>Manual for Calculating Greenhouse Gas Benefits of Global Environment Facility Transportation Projects</w:t>
      </w:r>
    </w:p>
    <w:p w:rsidR="00B63622" w:rsidRDefault="00C14C7F" w:rsidP="00813BB5">
      <w:pPr>
        <w:rPr>
          <w:sz w:val="20"/>
          <w:szCs w:val="20"/>
        </w:rPr>
      </w:pPr>
      <w:r>
        <w:rPr>
          <w:sz w:val="20"/>
          <w:szCs w:val="20"/>
        </w:rPr>
        <w:t>Grütter</w:t>
      </w:r>
      <w:r w:rsidR="00B63622">
        <w:rPr>
          <w:sz w:val="20"/>
          <w:szCs w:val="20"/>
        </w:rPr>
        <w:t xml:space="preserve"> Consulting (2016a), Inter-urban bus survey Bangladesh</w:t>
      </w:r>
    </w:p>
    <w:p w:rsidR="00B63622" w:rsidRDefault="00C14C7F" w:rsidP="00813BB5">
      <w:pPr>
        <w:rPr>
          <w:sz w:val="20"/>
          <w:szCs w:val="20"/>
        </w:rPr>
      </w:pPr>
      <w:r>
        <w:rPr>
          <w:sz w:val="20"/>
          <w:szCs w:val="20"/>
        </w:rPr>
        <w:t>Grütter</w:t>
      </w:r>
      <w:r w:rsidR="00B63622">
        <w:rPr>
          <w:sz w:val="20"/>
          <w:szCs w:val="20"/>
        </w:rPr>
        <w:t xml:space="preserve"> Consulting (2016b), Inter-urban truck survey Bangladesh</w:t>
      </w:r>
    </w:p>
    <w:p w:rsidR="00B63622" w:rsidRDefault="00C14C7F" w:rsidP="00813BB5">
      <w:pPr>
        <w:rPr>
          <w:sz w:val="20"/>
          <w:szCs w:val="20"/>
        </w:rPr>
      </w:pPr>
      <w:r>
        <w:rPr>
          <w:sz w:val="20"/>
          <w:szCs w:val="20"/>
        </w:rPr>
        <w:t>Grütter</w:t>
      </w:r>
      <w:r w:rsidR="00B63622">
        <w:rPr>
          <w:sz w:val="20"/>
          <w:szCs w:val="20"/>
        </w:rPr>
        <w:t xml:space="preserve"> Consulting (2016c), Rail passenger survey Bangladesh</w:t>
      </w:r>
    </w:p>
    <w:p w:rsidR="00424C1D" w:rsidRDefault="00C14C7F" w:rsidP="00813BB5">
      <w:pPr>
        <w:rPr>
          <w:sz w:val="20"/>
          <w:szCs w:val="20"/>
        </w:rPr>
      </w:pPr>
      <w:r>
        <w:rPr>
          <w:sz w:val="20"/>
          <w:szCs w:val="20"/>
        </w:rPr>
        <w:t>Grütter</w:t>
      </w:r>
      <w:r w:rsidR="00424C1D">
        <w:rPr>
          <w:sz w:val="20"/>
          <w:szCs w:val="20"/>
        </w:rPr>
        <w:t xml:space="preserve"> Consulting (2014), NAMA Inter-Urban Rail, India</w:t>
      </w:r>
    </w:p>
    <w:p w:rsidR="00A15DAB" w:rsidRDefault="00A15DAB" w:rsidP="00813BB5">
      <w:pPr>
        <w:rPr>
          <w:sz w:val="20"/>
          <w:szCs w:val="20"/>
        </w:rPr>
      </w:pPr>
      <w:r>
        <w:rPr>
          <w:sz w:val="20"/>
          <w:szCs w:val="20"/>
        </w:rPr>
        <w:t>Highways Agency / Scottish Office Development Department (1999), Design Manual for Roads and Bridges</w:t>
      </w:r>
    </w:p>
    <w:p w:rsidR="00402CF5" w:rsidRDefault="00402CF5" w:rsidP="00813BB5">
      <w:pPr>
        <w:rPr>
          <w:sz w:val="20"/>
          <w:szCs w:val="20"/>
        </w:rPr>
      </w:pPr>
      <w:r w:rsidRPr="00402CF5">
        <w:rPr>
          <w:sz w:val="20"/>
          <w:szCs w:val="20"/>
        </w:rPr>
        <w:t>Hill, N. et al</w:t>
      </w:r>
      <w:r>
        <w:rPr>
          <w:sz w:val="20"/>
          <w:szCs w:val="20"/>
        </w:rPr>
        <w:t xml:space="preserve"> (2102)</w:t>
      </w:r>
      <w:r w:rsidRPr="00402CF5">
        <w:rPr>
          <w:sz w:val="20"/>
          <w:szCs w:val="20"/>
        </w:rPr>
        <w:t xml:space="preserve">, EU Transport GHG: Routes to 2050 II, Final Report Appendix 2: The role of GHG emissions from infrastructure construction, vehicle manufacturing, and ELVs in overall </w:t>
      </w:r>
      <w:r>
        <w:rPr>
          <w:sz w:val="20"/>
          <w:szCs w:val="20"/>
        </w:rPr>
        <w:t>transport sector emissions</w:t>
      </w:r>
    </w:p>
    <w:p w:rsidR="00813BB5" w:rsidRDefault="00813BB5" w:rsidP="00813BB5">
      <w:pPr>
        <w:rPr>
          <w:sz w:val="20"/>
          <w:szCs w:val="20"/>
        </w:rPr>
      </w:pPr>
      <w:r w:rsidRPr="005B5FD8">
        <w:rPr>
          <w:sz w:val="20"/>
          <w:szCs w:val="20"/>
        </w:rPr>
        <w:t>IEA</w:t>
      </w:r>
      <w:r w:rsidR="00424C1D">
        <w:rPr>
          <w:sz w:val="20"/>
          <w:szCs w:val="20"/>
        </w:rPr>
        <w:t xml:space="preserve"> (2015)</w:t>
      </w:r>
      <w:r w:rsidRPr="005B5FD8">
        <w:rPr>
          <w:sz w:val="20"/>
          <w:szCs w:val="20"/>
        </w:rPr>
        <w:t>, Energy Statistic</w:t>
      </w:r>
      <w:r w:rsidR="00424C1D">
        <w:rPr>
          <w:sz w:val="20"/>
          <w:szCs w:val="20"/>
        </w:rPr>
        <w:t>s Manual</w:t>
      </w:r>
    </w:p>
    <w:p w:rsidR="00F44481" w:rsidRDefault="00F44481" w:rsidP="00813BB5">
      <w:pPr>
        <w:rPr>
          <w:sz w:val="20"/>
          <w:szCs w:val="20"/>
        </w:rPr>
      </w:pPr>
      <w:r w:rsidRPr="00F44481">
        <w:rPr>
          <w:sz w:val="20"/>
          <w:szCs w:val="20"/>
        </w:rPr>
        <w:t>IMF</w:t>
      </w:r>
      <w:r>
        <w:rPr>
          <w:sz w:val="20"/>
          <w:szCs w:val="20"/>
        </w:rPr>
        <w:t xml:space="preserve"> (2014)</w:t>
      </w:r>
      <w:r w:rsidRPr="00F44481">
        <w:rPr>
          <w:sz w:val="20"/>
          <w:szCs w:val="20"/>
        </w:rPr>
        <w:t>, G</w:t>
      </w:r>
      <w:r>
        <w:rPr>
          <w:sz w:val="20"/>
          <w:szCs w:val="20"/>
        </w:rPr>
        <w:t>etting Energy Prices Right</w:t>
      </w:r>
    </w:p>
    <w:p w:rsidR="001F0760" w:rsidRDefault="001F0760" w:rsidP="00813BB5">
      <w:pPr>
        <w:rPr>
          <w:sz w:val="20"/>
          <w:szCs w:val="20"/>
        </w:rPr>
      </w:pPr>
      <w:r w:rsidRPr="001F0760">
        <w:rPr>
          <w:sz w:val="20"/>
          <w:szCs w:val="20"/>
        </w:rPr>
        <w:t>IMF</w:t>
      </w:r>
      <w:r>
        <w:rPr>
          <w:sz w:val="20"/>
          <w:szCs w:val="20"/>
        </w:rPr>
        <w:t xml:space="preserve"> (2013)</w:t>
      </w:r>
      <w:r w:rsidRPr="001F0760">
        <w:rPr>
          <w:sz w:val="20"/>
          <w:szCs w:val="20"/>
        </w:rPr>
        <w:t>, Energy Subsidy Reform: Lessons and Im</w:t>
      </w:r>
      <w:r>
        <w:rPr>
          <w:sz w:val="20"/>
          <w:szCs w:val="20"/>
        </w:rPr>
        <w:t>plications</w:t>
      </w:r>
    </w:p>
    <w:p w:rsidR="00301333" w:rsidRPr="005B5FD8" w:rsidRDefault="00301333" w:rsidP="00813BB5">
      <w:pPr>
        <w:rPr>
          <w:sz w:val="20"/>
          <w:szCs w:val="20"/>
        </w:rPr>
      </w:pPr>
      <w:r w:rsidRPr="00BB10C8">
        <w:rPr>
          <w:sz w:val="20"/>
        </w:rPr>
        <w:t>IPCC</w:t>
      </w:r>
      <w:r>
        <w:rPr>
          <w:sz w:val="20"/>
        </w:rPr>
        <w:t xml:space="preserve"> (2006)</w:t>
      </w:r>
      <w:r w:rsidRPr="00BB10C8">
        <w:rPr>
          <w:sz w:val="20"/>
        </w:rPr>
        <w:t>, Guidelines for National GHG Inv</w:t>
      </w:r>
      <w:r>
        <w:rPr>
          <w:sz w:val="20"/>
        </w:rPr>
        <w:t>entories</w:t>
      </w:r>
    </w:p>
    <w:p w:rsidR="00424C1D" w:rsidRDefault="00424C1D" w:rsidP="00813BB5">
      <w:pPr>
        <w:rPr>
          <w:sz w:val="20"/>
          <w:szCs w:val="20"/>
        </w:rPr>
      </w:pPr>
      <w:r>
        <w:rPr>
          <w:sz w:val="20"/>
          <w:szCs w:val="20"/>
        </w:rPr>
        <w:t xml:space="preserve">Jahan S., Sustainable and Inclusive Transport Development in Bangladesh </w:t>
      </w:r>
    </w:p>
    <w:p w:rsidR="00B63622" w:rsidRDefault="00B63622" w:rsidP="00813BB5">
      <w:pPr>
        <w:rPr>
          <w:sz w:val="20"/>
          <w:szCs w:val="20"/>
        </w:rPr>
      </w:pPr>
      <w:r w:rsidRPr="00B63622">
        <w:rPr>
          <w:sz w:val="20"/>
          <w:szCs w:val="20"/>
        </w:rPr>
        <w:t>Joint Research Centre (JRC)</w:t>
      </w:r>
      <w:r>
        <w:rPr>
          <w:sz w:val="20"/>
          <w:szCs w:val="20"/>
        </w:rPr>
        <w:t xml:space="preserve"> (2011), </w:t>
      </w:r>
      <w:r w:rsidRPr="00B63622">
        <w:rPr>
          <w:sz w:val="20"/>
          <w:szCs w:val="20"/>
        </w:rPr>
        <w:t>EUCAR-CONCAWE collaboration, Well-to-Wheels Analysis of Future Automotive Fuels and Powertrains in the European Context Version 3c</w:t>
      </w:r>
    </w:p>
    <w:p w:rsidR="00B63622" w:rsidRDefault="00B63622" w:rsidP="00813BB5">
      <w:pPr>
        <w:rPr>
          <w:sz w:val="20"/>
          <w:szCs w:val="20"/>
        </w:rPr>
      </w:pPr>
      <w:r>
        <w:rPr>
          <w:sz w:val="20"/>
          <w:szCs w:val="20"/>
        </w:rPr>
        <w:t>LLC (2009),</w:t>
      </w:r>
      <w:r w:rsidRPr="00B63622">
        <w:t xml:space="preserve"> </w:t>
      </w:r>
      <w:r w:rsidRPr="00B63622">
        <w:rPr>
          <w:sz w:val="20"/>
          <w:szCs w:val="20"/>
        </w:rPr>
        <w:t>Assessment of Direct and Indirect GHG Emissions Associated with Petroleum Fuels</w:t>
      </w:r>
    </w:p>
    <w:p w:rsidR="00813BB5" w:rsidRPr="005B5FD8" w:rsidRDefault="00813BB5" w:rsidP="00813BB5">
      <w:pPr>
        <w:rPr>
          <w:sz w:val="20"/>
          <w:szCs w:val="20"/>
        </w:rPr>
      </w:pPr>
      <w:r w:rsidRPr="005B5FD8">
        <w:rPr>
          <w:sz w:val="20"/>
          <w:szCs w:val="20"/>
        </w:rPr>
        <w:t>Ministry of Communication</w:t>
      </w:r>
      <w:r w:rsidR="00424C1D">
        <w:rPr>
          <w:sz w:val="20"/>
          <w:szCs w:val="20"/>
        </w:rPr>
        <w:t xml:space="preserve"> (2013)</w:t>
      </w:r>
      <w:r w:rsidRPr="005B5FD8">
        <w:rPr>
          <w:sz w:val="20"/>
          <w:szCs w:val="20"/>
        </w:rPr>
        <w:t>, National Integrated M</w:t>
      </w:r>
      <w:r w:rsidR="00424C1D">
        <w:rPr>
          <w:sz w:val="20"/>
          <w:szCs w:val="20"/>
        </w:rPr>
        <w:t>ultimodal Transport Policy</w:t>
      </w:r>
    </w:p>
    <w:p w:rsidR="00813BB5" w:rsidRPr="005B5FD8" w:rsidRDefault="00813BB5" w:rsidP="00813BB5">
      <w:pPr>
        <w:pStyle w:val="Default"/>
        <w:rPr>
          <w:rFonts w:ascii="Calibri" w:hAnsi="Calibri"/>
          <w:sz w:val="20"/>
          <w:szCs w:val="20"/>
          <w:lang w:val="en-GB"/>
        </w:rPr>
      </w:pPr>
      <w:r w:rsidRPr="005B5FD8">
        <w:rPr>
          <w:rFonts w:ascii="Calibri" w:hAnsi="Calibri"/>
          <w:sz w:val="20"/>
          <w:szCs w:val="20"/>
          <w:lang w:val="en-GB"/>
        </w:rPr>
        <w:t>MOEF</w:t>
      </w:r>
      <w:r w:rsidR="00424C1D">
        <w:rPr>
          <w:rFonts w:ascii="Calibri" w:hAnsi="Calibri"/>
          <w:sz w:val="20"/>
          <w:szCs w:val="20"/>
          <w:lang w:val="en-GB"/>
        </w:rPr>
        <w:t xml:space="preserve"> (2015)</w:t>
      </w:r>
      <w:r w:rsidRPr="005B5FD8">
        <w:rPr>
          <w:rFonts w:ascii="Calibri" w:hAnsi="Calibri"/>
          <w:sz w:val="20"/>
          <w:szCs w:val="20"/>
          <w:lang w:val="en-GB"/>
        </w:rPr>
        <w:t>, Intended Nationall</w:t>
      </w:r>
      <w:r w:rsidR="00424C1D">
        <w:rPr>
          <w:rFonts w:ascii="Calibri" w:hAnsi="Calibri"/>
          <w:sz w:val="20"/>
          <w:szCs w:val="20"/>
          <w:lang w:val="en-GB"/>
        </w:rPr>
        <w:t>y Determined Contributions</w:t>
      </w:r>
    </w:p>
    <w:p w:rsidR="00813BB5" w:rsidRPr="005B5FD8" w:rsidRDefault="00813BB5" w:rsidP="00813BB5">
      <w:pPr>
        <w:pStyle w:val="Default"/>
        <w:rPr>
          <w:rFonts w:ascii="Calibri" w:hAnsi="Calibri"/>
          <w:sz w:val="20"/>
          <w:szCs w:val="20"/>
          <w:lang w:val="en-GB"/>
        </w:rPr>
      </w:pPr>
    </w:p>
    <w:p w:rsidR="00813BB5" w:rsidRPr="005B5FD8" w:rsidRDefault="00813BB5" w:rsidP="00813BB5">
      <w:pPr>
        <w:pStyle w:val="Default"/>
        <w:rPr>
          <w:rFonts w:ascii="Calibri" w:hAnsi="Calibri"/>
          <w:sz w:val="20"/>
          <w:szCs w:val="20"/>
          <w:lang w:val="en-GB"/>
        </w:rPr>
      </w:pPr>
      <w:r w:rsidRPr="005B5FD8">
        <w:rPr>
          <w:rFonts w:ascii="Calibri" w:hAnsi="Calibri"/>
          <w:sz w:val="20"/>
          <w:szCs w:val="20"/>
          <w:lang w:val="en-GB"/>
        </w:rPr>
        <w:t>MOEF</w:t>
      </w:r>
      <w:r w:rsidR="00424C1D">
        <w:rPr>
          <w:rFonts w:ascii="Calibri" w:hAnsi="Calibri"/>
          <w:sz w:val="20"/>
          <w:szCs w:val="20"/>
          <w:lang w:val="en-GB"/>
        </w:rPr>
        <w:t xml:space="preserve"> (2013)</w:t>
      </w:r>
      <w:r w:rsidRPr="005B5FD8">
        <w:rPr>
          <w:rFonts w:ascii="Calibri" w:hAnsi="Calibri"/>
          <w:sz w:val="20"/>
          <w:szCs w:val="20"/>
          <w:lang w:val="en-GB"/>
        </w:rPr>
        <w:t>, National Su</w:t>
      </w:r>
      <w:r w:rsidR="00424C1D">
        <w:rPr>
          <w:rFonts w:ascii="Calibri" w:hAnsi="Calibri"/>
          <w:sz w:val="20"/>
          <w:szCs w:val="20"/>
          <w:lang w:val="en-GB"/>
        </w:rPr>
        <w:t>stainable Development Strategy</w:t>
      </w:r>
    </w:p>
    <w:p w:rsidR="00813BB5" w:rsidRPr="005B5FD8" w:rsidRDefault="00813BB5" w:rsidP="00813BB5">
      <w:pPr>
        <w:pStyle w:val="Default"/>
        <w:rPr>
          <w:rFonts w:ascii="Calibri" w:hAnsi="Calibri"/>
          <w:sz w:val="20"/>
          <w:szCs w:val="20"/>
          <w:lang w:val="en-GB"/>
        </w:rPr>
      </w:pPr>
    </w:p>
    <w:p w:rsidR="00813BB5" w:rsidRPr="005B5FD8" w:rsidRDefault="00813BB5" w:rsidP="00813BB5">
      <w:pPr>
        <w:rPr>
          <w:sz w:val="20"/>
          <w:szCs w:val="20"/>
        </w:rPr>
      </w:pPr>
      <w:r w:rsidRPr="005B5FD8">
        <w:rPr>
          <w:sz w:val="20"/>
          <w:szCs w:val="20"/>
        </w:rPr>
        <w:t>MOEF</w:t>
      </w:r>
      <w:r w:rsidR="00424C1D">
        <w:rPr>
          <w:sz w:val="20"/>
          <w:szCs w:val="20"/>
        </w:rPr>
        <w:t xml:space="preserve"> (2012)</w:t>
      </w:r>
      <w:r w:rsidRPr="005B5FD8">
        <w:rPr>
          <w:sz w:val="20"/>
          <w:szCs w:val="20"/>
        </w:rPr>
        <w:t>, 2</w:t>
      </w:r>
      <w:r w:rsidRPr="005B5FD8">
        <w:rPr>
          <w:sz w:val="20"/>
          <w:szCs w:val="20"/>
          <w:vertAlign w:val="superscript"/>
        </w:rPr>
        <w:t>nd</w:t>
      </w:r>
      <w:r w:rsidRPr="005B5FD8">
        <w:rPr>
          <w:sz w:val="20"/>
          <w:szCs w:val="20"/>
        </w:rPr>
        <w:t xml:space="preserve"> Natio</w:t>
      </w:r>
      <w:r w:rsidR="00424C1D">
        <w:rPr>
          <w:sz w:val="20"/>
          <w:szCs w:val="20"/>
        </w:rPr>
        <w:t>nal Communication of Bangladesh</w:t>
      </w:r>
    </w:p>
    <w:p w:rsidR="00813BB5" w:rsidRDefault="00813BB5" w:rsidP="00813BB5">
      <w:pPr>
        <w:rPr>
          <w:sz w:val="20"/>
          <w:szCs w:val="20"/>
        </w:rPr>
      </w:pPr>
      <w:r w:rsidRPr="00813BB5">
        <w:rPr>
          <w:sz w:val="20"/>
          <w:szCs w:val="20"/>
        </w:rPr>
        <w:t>MOEF</w:t>
      </w:r>
      <w:r w:rsidR="00424C1D">
        <w:rPr>
          <w:sz w:val="20"/>
          <w:szCs w:val="20"/>
        </w:rPr>
        <w:t xml:space="preserve"> (2009)</w:t>
      </w:r>
      <w:r w:rsidRPr="00813BB5">
        <w:rPr>
          <w:sz w:val="20"/>
          <w:szCs w:val="20"/>
        </w:rPr>
        <w:t>, Bangladesh’s Climate Chang</w:t>
      </w:r>
      <w:r w:rsidR="00424C1D">
        <w:rPr>
          <w:sz w:val="20"/>
          <w:szCs w:val="20"/>
        </w:rPr>
        <w:t>e Strategy and Action Plan</w:t>
      </w:r>
    </w:p>
    <w:p w:rsidR="00B63622" w:rsidRDefault="00B63622" w:rsidP="00813BB5">
      <w:pPr>
        <w:rPr>
          <w:sz w:val="20"/>
        </w:rPr>
      </w:pPr>
      <w:r w:rsidRPr="00B63622">
        <w:rPr>
          <w:sz w:val="20"/>
        </w:rPr>
        <w:t>Natural Resources Canada: NRC (2013), GHGenius model version 4.02</w:t>
      </w:r>
    </w:p>
    <w:p w:rsidR="00B63622" w:rsidRDefault="00B63622" w:rsidP="00813BB5">
      <w:pPr>
        <w:rPr>
          <w:sz w:val="20"/>
        </w:rPr>
      </w:pPr>
      <w:r>
        <w:rPr>
          <w:sz w:val="20"/>
        </w:rPr>
        <w:t xml:space="preserve">US DOE (2012), </w:t>
      </w:r>
      <w:r w:rsidRPr="00B63622">
        <w:rPr>
          <w:sz w:val="20"/>
        </w:rPr>
        <w:t>GREET: The Greenhouse Gases, Regulated Emissions, and Energy Use in Transportation Model Version GREET1 rev2</w:t>
      </w:r>
    </w:p>
    <w:p w:rsidR="00B63622" w:rsidRPr="00B63622" w:rsidRDefault="00B63622" w:rsidP="00813BB5">
      <w:pPr>
        <w:rPr>
          <w:sz w:val="20"/>
        </w:rPr>
      </w:pPr>
      <w:r>
        <w:rPr>
          <w:sz w:val="20"/>
        </w:rPr>
        <w:t xml:space="preserve">World Bank (2014), </w:t>
      </w:r>
      <w:r w:rsidRPr="00B63622">
        <w:rPr>
          <w:sz w:val="20"/>
        </w:rPr>
        <w:t>Reducing Black Carbon Emissions from Diesel Vehicles: Impacts, Control Strategies, and Cost-Benefit Analysis</w:t>
      </w:r>
    </w:p>
    <w:p w:rsidR="00AE23C4" w:rsidRDefault="006B1282">
      <w:r w:rsidRPr="006B1282">
        <w:rPr>
          <w:sz w:val="20"/>
          <w:szCs w:val="20"/>
        </w:rPr>
        <w:t>World Bank</w:t>
      </w:r>
      <w:r>
        <w:rPr>
          <w:sz w:val="20"/>
          <w:szCs w:val="20"/>
        </w:rPr>
        <w:t xml:space="preserve"> (2011)</w:t>
      </w:r>
      <w:r w:rsidRPr="006B1282">
        <w:rPr>
          <w:sz w:val="20"/>
          <w:szCs w:val="20"/>
        </w:rPr>
        <w:t>, Transport – Greenhouse Gas Emissions Mitigation in Road Const</w:t>
      </w:r>
      <w:r>
        <w:rPr>
          <w:sz w:val="20"/>
          <w:szCs w:val="20"/>
        </w:rPr>
        <w:t>ruction and Rehabilitation</w:t>
      </w:r>
    </w:p>
    <w:sectPr w:rsidR="00AE23C4" w:rsidSect="004444B7">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95402" w:rsidRDefault="00995402" w:rsidP="00813BB5">
      <w:pPr>
        <w:spacing w:after="0" w:line="240" w:lineRule="auto"/>
      </w:pPr>
      <w:r>
        <w:separator/>
      </w:r>
    </w:p>
  </w:endnote>
  <w:endnote w:type="continuationSeparator" w:id="0">
    <w:p w:rsidR="00995402" w:rsidRDefault="00995402" w:rsidP="00813B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2AEF" w:usb1="4000207B" w:usb2="00000000" w:usb3="00000000" w:csb0="000001FF" w:csb1="00000000"/>
  </w:font>
  <w:font w:name="Arial">
    <w:panose1 w:val="020B0604020202020204"/>
    <w:charset w:val="00"/>
    <w:family w:val="swiss"/>
    <w:pitch w:val="variable"/>
    <w:sig w:usb0="E0002E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HelveticaNeue">
    <w:altName w:val="Arial"/>
    <w:panose1 w:val="00000000000000000000"/>
    <w:charset w:val="00"/>
    <w:family w:val="auto"/>
    <w:notTrueType/>
    <w:pitch w:val="default"/>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shd w:val="clear" w:color="auto" w:fill="5B9BD5" w:themeFill="accent1"/>
      <w:tblCellMar>
        <w:left w:w="115" w:type="dxa"/>
        <w:right w:w="115" w:type="dxa"/>
      </w:tblCellMar>
      <w:tblLook w:val="04A0" w:firstRow="1" w:lastRow="0" w:firstColumn="1" w:lastColumn="0" w:noHBand="0" w:noVBand="1"/>
    </w:tblPr>
    <w:tblGrid>
      <w:gridCol w:w="4513"/>
      <w:gridCol w:w="4513"/>
    </w:tblGrid>
    <w:tr w:rsidR="00100058">
      <w:tc>
        <w:tcPr>
          <w:tcW w:w="2500" w:type="pct"/>
          <w:shd w:val="clear" w:color="auto" w:fill="5B9BD5" w:themeFill="accent1"/>
          <w:vAlign w:val="center"/>
        </w:tcPr>
        <w:p w:rsidR="00100058" w:rsidRDefault="00100058" w:rsidP="00BE6A26">
          <w:pPr>
            <w:pStyle w:val="Footer"/>
            <w:spacing w:before="80" w:after="80"/>
            <w:jc w:val="both"/>
            <w:rPr>
              <w:caps/>
              <w:color w:val="FFFFFF" w:themeColor="background1"/>
              <w:sz w:val="18"/>
              <w:szCs w:val="18"/>
            </w:rPr>
          </w:pPr>
          <w:sdt>
            <w:sdtPr>
              <w:rPr>
                <w:caps/>
                <w:color w:val="FFFFFF" w:themeColor="background1"/>
                <w:sz w:val="18"/>
                <w:szCs w:val="18"/>
              </w:rPr>
              <w:alias w:val="Title"/>
              <w:tag w:val=""/>
              <w:id w:val="-578829839"/>
              <w:placeholder>
                <w:docPart w:val="C67B00BAEB6049D5A0790BCB66996002"/>
              </w:placeholder>
              <w:dataBinding w:prefixMappings="xmlns:ns0='http://purl.org/dc/elements/1.1/' xmlns:ns1='http://schemas.openxmlformats.org/package/2006/metadata/core-properties' " w:xpath="/ns1:coreProperties[1]/ns0:title[1]" w:storeItemID="{6C3C8BC8-F283-45AE-878A-BAB7291924A1}"/>
              <w:text/>
            </w:sdtPr>
            <w:sdtContent>
              <w:r>
                <w:rPr>
                  <w:caps/>
                  <w:color w:val="FFFFFF" w:themeColor="background1"/>
                  <w:sz w:val="18"/>
                  <w:szCs w:val="18"/>
                </w:rPr>
                <w:t>NAMA Rail Bangladesh</w:t>
              </w:r>
            </w:sdtContent>
          </w:sdt>
        </w:p>
      </w:tc>
      <w:tc>
        <w:tcPr>
          <w:tcW w:w="2500" w:type="pct"/>
          <w:shd w:val="clear" w:color="auto" w:fill="5B9BD5" w:themeFill="accent1"/>
          <w:vAlign w:val="center"/>
        </w:tcPr>
        <w:sdt>
          <w:sdtPr>
            <w:rPr>
              <w:caps/>
              <w:color w:val="FFFFFF" w:themeColor="background1"/>
              <w:sz w:val="18"/>
              <w:szCs w:val="18"/>
            </w:rPr>
            <w:alias w:val="Author"/>
            <w:tag w:val=""/>
            <w:id w:val="-1822267932"/>
            <w:placeholder>
              <w:docPart w:val="D8ABC98B13584C3DAE3B2BC07C40AD5B"/>
            </w:placeholder>
            <w:dataBinding w:prefixMappings="xmlns:ns0='http://purl.org/dc/elements/1.1/' xmlns:ns1='http://schemas.openxmlformats.org/package/2006/metadata/core-properties' " w:xpath="/ns1:coreProperties[1]/ns0:creator[1]" w:storeItemID="{6C3C8BC8-F283-45AE-878A-BAB7291924A1}"/>
            <w:text/>
          </w:sdtPr>
          <w:sdtContent>
            <w:p w:rsidR="00100058" w:rsidRDefault="00100058">
              <w:pPr>
                <w:pStyle w:val="Footer"/>
                <w:spacing w:before="80" w:after="80"/>
                <w:jc w:val="right"/>
                <w:rPr>
                  <w:caps/>
                  <w:color w:val="FFFFFF" w:themeColor="background1"/>
                  <w:sz w:val="18"/>
                  <w:szCs w:val="18"/>
                </w:rPr>
              </w:pPr>
              <w:r>
                <w:rPr>
                  <w:caps/>
                  <w:color w:val="FFFFFF" w:themeColor="background1"/>
                  <w:sz w:val="18"/>
                  <w:szCs w:val="18"/>
                </w:rPr>
                <w:t>Grütter consulitng</w:t>
              </w:r>
            </w:p>
          </w:sdtContent>
        </w:sdt>
      </w:tc>
    </w:tr>
  </w:tbl>
  <w:p w:rsidR="00100058" w:rsidRDefault="0010005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95402" w:rsidRDefault="00995402" w:rsidP="00813BB5">
      <w:pPr>
        <w:spacing w:after="0" w:line="240" w:lineRule="auto"/>
      </w:pPr>
      <w:r>
        <w:separator/>
      </w:r>
    </w:p>
  </w:footnote>
  <w:footnote w:type="continuationSeparator" w:id="0">
    <w:p w:rsidR="00995402" w:rsidRDefault="00995402" w:rsidP="00813BB5">
      <w:pPr>
        <w:spacing w:after="0" w:line="240" w:lineRule="auto"/>
      </w:pPr>
      <w:r>
        <w:continuationSeparator/>
      </w:r>
    </w:p>
  </w:footnote>
  <w:footnote w:id="1">
    <w:p w:rsidR="00100058" w:rsidRPr="008003B7" w:rsidRDefault="00100058">
      <w:pPr>
        <w:pStyle w:val="FootnoteText"/>
        <w:rPr>
          <w:lang w:val="en-GB"/>
        </w:rPr>
      </w:pPr>
      <w:r>
        <w:rPr>
          <w:rStyle w:val="FootnoteReference"/>
        </w:rPr>
        <w:footnoteRef/>
      </w:r>
      <w:r w:rsidRPr="00BE6A26">
        <w:rPr>
          <w:lang w:val="en-GB"/>
        </w:rPr>
        <w:t xml:space="preserve"> </w:t>
      </w:r>
      <w:r>
        <w:rPr>
          <w:lang w:val="en-GB"/>
        </w:rPr>
        <w:t>16.4 billion USD period 2010 to 2015</w:t>
      </w:r>
    </w:p>
  </w:footnote>
  <w:footnote w:id="2">
    <w:p w:rsidR="00100058" w:rsidRPr="00A96186" w:rsidRDefault="00100058" w:rsidP="00A76204">
      <w:pPr>
        <w:pStyle w:val="FootnoteText"/>
        <w:rPr>
          <w:lang w:val="en-GB"/>
        </w:rPr>
      </w:pPr>
      <w:r>
        <w:rPr>
          <w:rStyle w:val="FootnoteReference"/>
        </w:rPr>
        <w:footnoteRef/>
      </w:r>
      <w:r w:rsidRPr="00AC59A7">
        <w:rPr>
          <w:lang w:val="en-GB"/>
        </w:rPr>
        <w:t xml:space="preserve"> </w:t>
      </w:r>
      <w:r w:rsidRPr="00A96186">
        <w:rPr>
          <w:lang w:val="en-GB"/>
        </w:rPr>
        <w:t>MOEF, 2012</w:t>
      </w:r>
    </w:p>
  </w:footnote>
  <w:footnote w:id="3">
    <w:p w:rsidR="00100058" w:rsidRPr="00A96186" w:rsidRDefault="00100058" w:rsidP="00813BB5">
      <w:pPr>
        <w:pStyle w:val="FootnoteText"/>
        <w:rPr>
          <w:lang w:val="en-GB"/>
        </w:rPr>
      </w:pPr>
      <w:r>
        <w:rPr>
          <w:rStyle w:val="FootnoteReference"/>
        </w:rPr>
        <w:footnoteRef/>
      </w:r>
      <w:r w:rsidRPr="00AC59A7">
        <w:rPr>
          <w:lang w:val="en-GB"/>
        </w:rPr>
        <w:t xml:space="preserve"> </w:t>
      </w:r>
      <w:r w:rsidRPr="00A96186">
        <w:rPr>
          <w:lang w:val="en-GB"/>
        </w:rPr>
        <w:t>BPC data</w:t>
      </w:r>
    </w:p>
  </w:footnote>
  <w:footnote w:id="4">
    <w:p w:rsidR="00100058" w:rsidRPr="00813BB5" w:rsidRDefault="00100058" w:rsidP="00813BB5">
      <w:pPr>
        <w:pStyle w:val="FootnoteText"/>
        <w:rPr>
          <w:lang w:val="en-GB"/>
        </w:rPr>
      </w:pPr>
      <w:r>
        <w:rPr>
          <w:rStyle w:val="FootnoteReference"/>
        </w:rPr>
        <w:footnoteRef/>
      </w:r>
      <w:r w:rsidRPr="00813BB5">
        <w:rPr>
          <w:lang w:val="en-GB"/>
        </w:rPr>
        <w:t xml:space="preserve"> IEA, 2013</w:t>
      </w:r>
    </w:p>
  </w:footnote>
  <w:footnote w:id="5">
    <w:p w:rsidR="00100058" w:rsidRPr="00A76204" w:rsidRDefault="00100058">
      <w:pPr>
        <w:pStyle w:val="FootnoteText"/>
        <w:rPr>
          <w:lang w:val="en-GB"/>
        </w:rPr>
      </w:pPr>
      <w:r>
        <w:rPr>
          <w:rStyle w:val="FootnoteReference"/>
        </w:rPr>
        <w:footnoteRef/>
      </w:r>
      <w:r w:rsidRPr="00DD60F5">
        <w:rPr>
          <w:lang w:val="en-GB"/>
        </w:rPr>
        <w:t xml:space="preserve"> </w:t>
      </w:r>
      <w:r>
        <w:rPr>
          <w:lang w:val="en-GB"/>
        </w:rPr>
        <w:t>T</w:t>
      </w:r>
      <w:r w:rsidRPr="00A76204">
        <w:rPr>
          <w:lang w:val="en-GB"/>
        </w:rPr>
        <w:t xml:space="preserve">he INDC </w:t>
      </w:r>
      <w:r>
        <w:rPr>
          <w:lang w:val="en-GB"/>
        </w:rPr>
        <w:t xml:space="preserve">assumes for 2013 </w:t>
      </w:r>
      <w:r w:rsidRPr="00A76204">
        <w:rPr>
          <w:lang w:val="en-GB"/>
        </w:rPr>
        <w:t>17 MtCO</w:t>
      </w:r>
      <w:r w:rsidRPr="00A76204">
        <w:rPr>
          <w:vertAlign w:val="subscript"/>
          <w:lang w:val="en-GB"/>
        </w:rPr>
        <w:t>2e</w:t>
      </w:r>
      <w:r w:rsidRPr="00A76204">
        <w:rPr>
          <w:lang w:val="en-GB"/>
        </w:rPr>
        <w:t xml:space="preserve"> </w:t>
      </w:r>
      <w:r>
        <w:rPr>
          <w:lang w:val="en-GB"/>
        </w:rPr>
        <w:t>of transport emissions which are significantly higher than the fuel consumption value reported for the same year (MOEF, 2015)</w:t>
      </w:r>
      <w:r w:rsidRPr="00A76204">
        <w:rPr>
          <w:lang w:val="en-GB"/>
        </w:rPr>
        <w:t>.</w:t>
      </w:r>
    </w:p>
  </w:footnote>
  <w:footnote w:id="6">
    <w:p w:rsidR="00100058" w:rsidRPr="00A96186" w:rsidRDefault="00100058" w:rsidP="00813BB5">
      <w:pPr>
        <w:pStyle w:val="FootnoteText"/>
        <w:rPr>
          <w:lang w:val="en-GB"/>
        </w:rPr>
      </w:pPr>
      <w:r>
        <w:rPr>
          <w:rStyle w:val="FootnoteReference"/>
        </w:rPr>
        <w:footnoteRef/>
      </w:r>
      <w:r w:rsidRPr="00AC59A7">
        <w:rPr>
          <w:lang w:val="en-GB"/>
        </w:rPr>
        <w:t xml:space="preserve"> Ministry of Communications cited in GED, 2010, Table 2.8</w:t>
      </w:r>
    </w:p>
  </w:footnote>
  <w:footnote w:id="7">
    <w:p w:rsidR="00100058" w:rsidRPr="00340D82" w:rsidRDefault="00100058" w:rsidP="00813BB5">
      <w:pPr>
        <w:pStyle w:val="FootnoteText"/>
        <w:rPr>
          <w:lang w:val="en-GB"/>
        </w:rPr>
      </w:pPr>
      <w:r>
        <w:rPr>
          <w:rStyle w:val="FootnoteReference"/>
        </w:rPr>
        <w:footnoteRef/>
      </w:r>
      <w:r w:rsidRPr="00AC59A7">
        <w:rPr>
          <w:lang w:val="en-GB"/>
        </w:rPr>
        <w:t xml:space="preserve"> </w:t>
      </w:r>
      <w:r w:rsidRPr="00340D82">
        <w:rPr>
          <w:lang w:val="en-GB"/>
        </w:rPr>
        <w:t>includes the category tankers</w:t>
      </w:r>
    </w:p>
  </w:footnote>
  <w:footnote w:id="8">
    <w:p w:rsidR="00100058" w:rsidRPr="007D417A" w:rsidRDefault="00100058" w:rsidP="00813BB5">
      <w:pPr>
        <w:pStyle w:val="FootnoteText"/>
        <w:rPr>
          <w:lang w:val="en-GB"/>
        </w:rPr>
      </w:pPr>
      <w:r>
        <w:rPr>
          <w:rStyle w:val="FootnoteReference"/>
        </w:rPr>
        <w:footnoteRef/>
      </w:r>
      <w:r w:rsidRPr="00AC59A7">
        <w:rPr>
          <w:lang w:val="en-GB"/>
        </w:rPr>
        <w:t xml:space="preserve"> http://www.brta.gov.bd/images/files/statistics/statistics-bangladesh-feb-16.pdf</w:t>
      </w:r>
    </w:p>
  </w:footnote>
  <w:footnote w:id="9">
    <w:p w:rsidR="00100058" w:rsidRPr="00990CF2" w:rsidRDefault="00100058">
      <w:pPr>
        <w:pStyle w:val="FootnoteText"/>
        <w:rPr>
          <w:lang w:val="en-GB"/>
        </w:rPr>
      </w:pPr>
      <w:r>
        <w:rPr>
          <w:rStyle w:val="FootnoteReference"/>
        </w:rPr>
        <w:footnoteRef/>
      </w:r>
      <w:r w:rsidRPr="00D11278">
        <w:rPr>
          <w:lang w:val="en-GB"/>
        </w:rPr>
        <w:t xml:space="preserve"> </w:t>
      </w:r>
      <w:r>
        <w:rPr>
          <w:lang w:val="en-GB"/>
        </w:rPr>
        <w:t>MOEF, 2015</w:t>
      </w:r>
    </w:p>
  </w:footnote>
  <w:footnote w:id="10">
    <w:p w:rsidR="00100058" w:rsidRPr="001A628B" w:rsidRDefault="00100058" w:rsidP="00813BB5">
      <w:pPr>
        <w:pStyle w:val="FootnoteText"/>
        <w:rPr>
          <w:lang w:val="en-GB"/>
        </w:rPr>
      </w:pPr>
      <w:r>
        <w:rPr>
          <w:rStyle w:val="FootnoteReference"/>
        </w:rPr>
        <w:footnoteRef/>
      </w:r>
      <w:r w:rsidRPr="00AC59A7">
        <w:rPr>
          <w:lang w:val="en-GB"/>
        </w:rPr>
        <w:t xml:space="preserve"> </w:t>
      </w:r>
      <w:r w:rsidRPr="001A628B">
        <w:rPr>
          <w:lang w:val="en-GB"/>
        </w:rPr>
        <w:t>GED, 2015</w:t>
      </w:r>
    </w:p>
  </w:footnote>
  <w:footnote w:id="11">
    <w:p w:rsidR="00100058" w:rsidRPr="008C5413" w:rsidRDefault="00100058" w:rsidP="00813BB5">
      <w:pPr>
        <w:pStyle w:val="FootnoteText"/>
        <w:rPr>
          <w:lang w:val="en-GB"/>
        </w:rPr>
      </w:pPr>
      <w:r>
        <w:rPr>
          <w:rStyle w:val="FootnoteReference"/>
        </w:rPr>
        <w:footnoteRef/>
      </w:r>
      <w:r w:rsidRPr="00AC59A7">
        <w:rPr>
          <w:lang w:val="en-GB"/>
        </w:rPr>
        <w:t xml:space="preserve"> </w:t>
      </w:r>
      <w:r w:rsidRPr="008C5413">
        <w:rPr>
          <w:lang w:val="en-GB"/>
        </w:rPr>
        <w:t>MOEF, 2013</w:t>
      </w:r>
    </w:p>
  </w:footnote>
  <w:footnote w:id="12">
    <w:p w:rsidR="00100058" w:rsidRPr="00423529" w:rsidRDefault="00100058" w:rsidP="00813BB5">
      <w:pPr>
        <w:pStyle w:val="FootnoteText"/>
        <w:rPr>
          <w:lang w:val="en-GB"/>
        </w:rPr>
      </w:pPr>
      <w:r>
        <w:rPr>
          <w:rStyle w:val="FootnoteReference"/>
        </w:rPr>
        <w:footnoteRef/>
      </w:r>
      <w:r w:rsidRPr="00AC59A7">
        <w:rPr>
          <w:lang w:val="en-GB"/>
        </w:rPr>
        <w:t xml:space="preserve"> </w:t>
      </w:r>
      <w:r w:rsidRPr="00423529">
        <w:rPr>
          <w:lang w:val="en-GB"/>
        </w:rPr>
        <w:t>MOEF, 2012</w:t>
      </w:r>
    </w:p>
  </w:footnote>
  <w:footnote w:id="13">
    <w:p w:rsidR="00100058" w:rsidRPr="008C5413" w:rsidRDefault="00100058" w:rsidP="00813BB5">
      <w:pPr>
        <w:pStyle w:val="FootnoteText"/>
        <w:rPr>
          <w:lang w:val="en-GB"/>
        </w:rPr>
      </w:pPr>
      <w:r>
        <w:rPr>
          <w:rStyle w:val="FootnoteReference"/>
        </w:rPr>
        <w:footnoteRef/>
      </w:r>
      <w:r w:rsidRPr="00AC59A7">
        <w:rPr>
          <w:lang w:val="en-GB"/>
        </w:rPr>
        <w:t xml:space="preserve"> </w:t>
      </w:r>
      <w:r w:rsidRPr="008C5413">
        <w:rPr>
          <w:lang w:val="en-GB"/>
        </w:rPr>
        <w:t>GED, 2012</w:t>
      </w:r>
    </w:p>
  </w:footnote>
  <w:footnote w:id="14">
    <w:p w:rsidR="00100058" w:rsidRPr="00A96186" w:rsidRDefault="00100058" w:rsidP="00813BB5">
      <w:pPr>
        <w:pStyle w:val="FootnoteText"/>
        <w:rPr>
          <w:lang w:val="en-GB"/>
        </w:rPr>
      </w:pPr>
      <w:r>
        <w:rPr>
          <w:rStyle w:val="FootnoteReference"/>
        </w:rPr>
        <w:footnoteRef/>
      </w:r>
      <w:r w:rsidRPr="00AC59A7">
        <w:rPr>
          <w:lang w:val="en-GB"/>
        </w:rPr>
        <w:t xml:space="preserve"> MOEF, 2009</w:t>
      </w:r>
    </w:p>
  </w:footnote>
  <w:footnote w:id="15">
    <w:p w:rsidR="00100058" w:rsidRPr="001A628B" w:rsidRDefault="00100058" w:rsidP="00813BB5">
      <w:pPr>
        <w:pStyle w:val="FootnoteText"/>
        <w:rPr>
          <w:lang w:val="en-GB"/>
        </w:rPr>
      </w:pPr>
      <w:r>
        <w:rPr>
          <w:rStyle w:val="FootnoteReference"/>
        </w:rPr>
        <w:footnoteRef/>
      </w:r>
      <w:r w:rsidRPr="00AC59A7">
        <w:rPr>
          <w:lang w:val="en-GB"/>
        </w:rPr>
        <w:t xml:space="preserve"> </w:t>
      </w:r>
      <w:r w:rsidRPr="001A628B">
        <w:rPr>
          <w:lang w:val="en-GB"/>
        </w:rPr>
        <w:t>Ministry of Communication, 2013</w:t>
      </w:r>
    </w:p>
  </w:footnote>
  <w:footnote w:id="16">
    <w:p w:rsidR="00100058" w:rsidRPr="00017317" w:rsidRDefault="00100058">
      <w:pPr>
        <w:pStyle w:val="FootnoteText"/>
        <w:rPr>
          <w:lang w:val="en-GB"/>
        </w:rPr>
      </w:pPr>
      <w:r>
        <w:rPr>
          <w:rStyle w:val="FootnoteReference"/>
        </w:rPr>
        <w:footnoteRef/>
      </w:r>
      <w:r w:rsidRPr="00017317">
        <w:rPr>
          <w:lang w:val="en-GB"/>
        </w:rPr>
        <w:t xml:space="preserve"> http://railway.portal.gov.bd/site/page/8e5a704d-72e2-4d69-b443-21988229cbbc/Railway-Master-Plan</w:t>
      </w:r>
    </w:p>
  </w:footnote>
  <w:footnote w:id="17">
    <w:p w:rsidR="00100058" w:rsidRPr="000157ED" w:rsidRDefault="00100058">
      <w:pPr>
        <w:pStyle w:val="FootnoteText"/>
        <w:rPr>
          <w:lang w:val="en-GB"/>
        </w:rPr>
      </w:pPr>
      <w:r>
        <w:rPr>
          <w:rStyle w:val="FootnoteReference"/>
        </w:rPr>
        <w:footnoteRef/>
      </w:r>
      <w:r w:rsidRPr="000157ED">
        <w:rPr>
          <w:lang w:val="en-GB"/>
        </w:rPr>
        <w:t xml:space="preserve"> </w:t>
      </w:r>
      <w:r>
        <w:rPr>
          <w:lang w:val="en-GB"/>
        </w:rPr>
        <w:t>See BR Master Plan, chapter 2</w:t>
      </w:r>
    </w:p>
  </w:footnote>
  <w:footnote w:id="18">
    <w:p w:rsidR="00100058" w:rsidRPr="000157ED" w:rsidRDefault="00100058">
      <w:pPr>
        <w:pStyle w:val="FootnoteText"/>
        <w:rPr>
          <w:lang w:val="en-GB"/>
        </w:rPr>
      </w:pPr>
      <w:r>
        <w:rPr>
          <w:rStyle w:val="FootnoteReference"/>
        </w:rPr>
        <w:footnoteRef/>
      </w:r>
      <w:r w:rsidRPr="007F4A09">
        <w:rPr>
          <w:lang w:val="en-GB"/>
        </w:rPr>
        <w:t xml:space="preserve"> </w:t>
      </w:r>
      <w:r>
        <w:rPr>
          <w:lang w:val="en-GB"/>
        </w:rPr>
        <w:t>1970 it was 2,858km</w:t>
      </w:r>
    </w:p>
  </w:footnote>
  <w:footnote w:id="19">
    <w:p w:rsidR="00100058" w:rsidRPr="007C5AB2" w:rsidRDefault="00100058">
      <w:pPr>
        <w:pStyle w:val="FootnoteText"/>
        <w:rPr>
          <w:lang w:val="en-GB"/>
        </w:rPr>
      </w:pPr>
      <w:r>
        <w:rPr>
          <w:rStyle w:val="FootnoteReference"/>
        </w:rPr>
        <w:footnoteRef/>
      </w:r>
      <w:r w:rsidRPr="007F4A09">
        <w:rPr>
          <w:lang w:val="en-GB"/>
        </w:rPr>
        <w:t xml:space="preserve"> </w:t>
      </w:r>
      <w:r>
        <w:rPr>
          <w:lang w:val="en-GB"/>
        </w:rPr>
        <w:t>BR Master Plan Table 5-1</w:t>
      </w:r>
    </w:p>
  </w:footnote>
  <w:footnote w:id="20">
    <w:p w:rsidR="00100058" w:rsidRPr="007C5AB2" w:rsidRDefault="00100058">
      <w:pPr>
        <w:pStyle w:val="FootnoteText"/>
        <w:rPr>
          <w:lang w:val="en-GB"/>
        </w:rPr>
      </w:pPr>
      <w:r>
        <w:rPr>
          <w:rStyle w:val="FootnoteReference"/>
        </w:rPr>
        <w:footnoteRef/>
      </w:r>
      <w:r w:rsidRPr="007C5AB2">
        <w:rPr>
          <w:lang w:val="en-GB"/>
        </w:rPr>
        <w:t xml:space="preserve"> http://www.kushnirs.org/macroeconomics_/en/bangladesh__gdp.html#main</w:t>
      </w:r>
    </w:p>
  </w:footnote>
  <w:footnote w:id="21">
    <w:p w:rsidR="00100058" w:rsidRPr="0099287A" w:rsidRDefault="00100058">
      <w:pPr>
        <w:pStyle w:val="FootnoteText"/>
        <w:rPr>
          <w:lang w:val="en-GB"/>
        </w:rPr>
      </w:pPr>
      <w:r>
        <w:rPr>
          <w:rStyle w:val="FootnoteReference"/>
        </w:rPr>
        <w:footnoteRef/>
      </w:r>
      <w:r>
        <w:rPr>
          <w:lang w:val="en-GB"/>
        </w:rPr>
        <w:t xml:space="preserve"> BR Master Plan, chapter 4;</w:t>
      </w:r>
      <w:r w:rsidRPr="0099287A">
        <w:rPr>
          <w:lang w:val="en-GB"/>
        </w:rPr>
        <w:t xml:space="preserve"> </w:t>
      </w:r>
      <w:r>
        <w:rPr>
          <w:lang w:val="en-GB"/>
        </w:rPr>
        <w:t xml:space="preserve">In terms of tkm a decrease </w:t>
      </w:r>
      <w:r w:rsidRPr="0099287A">
        <w:rPr>
          <w:lang w:val="en-GB"/>
        </w:rPr>
        <w:t xml:space="preserve">from 30% to 7% over the last 30 years </w:t>
      </w:r>
      <w:r>
        <w:rPr>
          <w:lang w:val="en-GB"/>
        </w:rPr>
        <w:t>can be observed</w:t>
      </w:r>
      <w:r w:rsidRPr="0099287A">
        <w:rPr>
          <w:lang w:val="en-GB"/>
        </w:rPr>
        <w:t xml:space="preserve">. A similar decreasing trend can be observed in </w:t>
      </w:r>
      <w:r>
        <w:rPr>
          <w:lang w:val="en-GB"/>
        </w:rPr>
        <w:t>pkm</w:t>
      </w:r>
      <w:r w:rsidRPr="0099287A">
        <w:rPr>
          <w:lang w:val="en-GB"/>
        </w:rPr>
        <w:t xml:space="preserve"> whereas of 1970 rail still had an estimated mode share of 30% which has however dropped to around 10% with road being the dominant mode of transit in freight as well as passenger movement</w:t>
      </w:r>
      <w:r>
        <w:rPr>
          <w:lang w:val="en-GB"/>
        </w:rPr>
        <w:t xml:space="preserve"> (</w:t>
      </w:r>
      <w:r w:rsidRPr="003620FC">
        <w:rPr>
          <w:lang w:val="en-GB"/>
        </w:rPr>
        <w:t xml:space="preserve">Ahmed, 2010, </w:t>
      </w:r>
      <w:r>
        <w:rPr>
          <w:lang w:val="en-GB"/>
        </w:rPr>
        <w:t>Table 3 based on Planning Commission)</w:t>
      </w:r>
    </w:p>
  </w:footnote>
  <w:footnote w:id="22">
    <w:p w:rsidR="00100058" w:rsidRPr="00A55028" w:rsidRDefault="00100058">
      <w:pPr>
        <w:pStyle w:val="FootnoteText"/>
        <w:rPr>
          <w:lang w:val="en-GB"/>
        </w:rPr>
      </w:pPr>
      <w:r>
        <w:rPr>
          <w:rStyle w:val="FootnoteReference"/>
        </w:rPr>
        <w:footnoteRef/>
      </w:r>
      <w:r w:rsidRPr="007F4A09">
        <w:rPr>
          <w:lang w:val="en-GB"/>
        </w:rPr>
        <w:t xml:space="preserve"> </w:t>
      </w:r>
      <w:r>
        <w:rPr>
          <w:lang w:val="en-GB"/>
        </w:rPr>
        <w:t>BR Master Plan, chapter 7</w:t>
      </w:r>
    </w:p>
  </w:footnote>
  <w:footnote w:id="23">
    <w:p w:rsidR="00100058" w:rsidRPr="00C65AD2" w:rsidRDefault="00100058">
      <w:pPr>
        <w:pStyle w:val="FootnoteText"/>
        <w:rPr>
          <w:lang w:val="en-GB"/>
        </w:rPr>
      </w:pPr>
      <w:r>
        <w:rPr>
          <w:rStyle w:val="FootnoteReference"/>
        </w:rPr>
        <w:footnoteRef/>
      </w:r>
      <w:r w:rsidRPr="007F4A09">
        <w:rPr>
          <w:lang w:val="en-GB"/>
        </w:rPr>
        <w:t xml:space="preserve"> </w:t>
      </w:r>
      <w:r>
        <w:rPr>
          <w:lang w:val="en-GB"/>
        </w:rPr>
        <w:t>Corridors 1 to 9</w:t>
      </w:r>
    </w:p>
  </w:footnote>
  <w:footnote w:id="24">
    <w:p w:rsidR="00100058" w:rsidRPr="007F4A09" w:rsidRDefault="00100058" w:rsidP="009C1D87">
      <w:pPr>
        <w:pStyle w:val="FootnoteText"/>
        <w:rPr>
          <w:lang w:val="en-GB"/>
        </w:rPr>
      </w:pPr>
      <w:r>
        <w:rPr>
          <w:rStyle w:val="FootnoteReference"/>
        </w:rPr>
        <w:footnoteRef/>
      </w:r>
      <w:r w:rsidRPr="00D0623E">
        <w:rPr>
          <w:lang w:val="en-GB"/>
        </w:rPr>
        <w:t xml:space="preserve"> </w:t>
      </w:r>
      <w:r>
        <w:rPr>
          <w:lang w:val="en-GB"/>
        </w:rPr>
        <w:t>BR Master Plan, chapter 5</w:t>
      </w:r>
    </w:p>
  </w:footnote>
  <w:footnote w:id="25">
    <w:p w:rsidR="00100058" w:rsidRPr="00D31B75" w:rsidRDefault="00100058" w:rsidP="00163C4B">
      <w:pPr>
        <w:pStyle w:val="FootnoteText"/>
        <w:rPr>
          <w:lang w:val="en-GB"/>
        </w:rPr>
      </w:pPr>
      <w:r>
        <w:rPr>
          <w:rStyle w:val="FootnoteReference"/>
        </w:rPr>
        <w:footnoteRef/>
      </w:r>
      <w:r w:rsidRPr="00D31B75">
        <w:rPr>
          <w:lang w:val="en-GB"/>
        </w:rPr>
        <w:t xml:space="preserve"> </w:t>
      </w:r>
      <w:r>
        <w:rPr>
          <w:lang w:val="en-GB"/>
        </w:rPr>
        <w:t xml:space="preserve">see </w:t>
      </w:r>
      <w:r w:rsidRPr="00C96C24">
        <w:rPr>
          <w:lang w:val="en-GB"/>
        </w:rPr>
        <w:t>Bond, 2013</w:t>
      </w:r>
      <w:r>
        <w:rPr>
          <w:lang w:val="en-GB"/>
        </w:rPr>
        <w:t xml:space="preserve"> or World Bank, 2014</w:t>
      </w:r>
    </w:p>
  </w:footnote>
  <w:footnote w:id="26">
    <w:p w:rsidR="00100058" w:rsidRPr="009C168A" w:rsidRDefault="00100058">
      <w:pPr>
        <w:pStyle w:val="FootnoteText"/>
        <w:rPr>
          <w:lang w:val="en-GB"/>
        </w:rPr>
      </w:pPr>
      <w:r>
        <w:rPr>
          <w:rStyle w:val="FootnoteReference"/>
        </w:rPr>
        <w:footnoteRef/>
      </w:r>
      <w:r w:rsidRPr="009C168A">
        <w:rPr>
          <w:lang w:val="en-GB"/>
        </w:rPr>
        <w:t xml:space="preserve"> </w:t>
      </w:r>
      <w:r>
        <w:rPr>
          <w:lang w:val="en-GB"/>
        </w:rPr>
        <w:t>See for quantitative estimations chapters 6.6. and 6.7.</w:t>
      </w:r>
    </w:p>
  </w:footnote>
  <w:footnote w:id="27">
    <w:p w:rsidR="00100058" w:rsidRPr="00006EA4" w:rsidRDefault="00100058" w:rsidP="00802A00">
      <w:pPr>
        <w:pStyle w:val="FootnoteText"/>
        <w:rPr>
          <w:lang w:val="en-GB"/>
        </w:rPr>
      </w:pPr>
      <w:r>
        <w:rPr>
          <w:rStyle w:val="FootnoteReference"/>
        </w:rPr>
        <w:footnoteRef/>
      </w:r>
      <w:r w:rsidRPr="00006EA4">
        <w:rPr>
          <w:lang w:val="en-GB"/>
        </w:rPr>
        <w:t xml:space="preserve"> Includes tracks, overhead lines, stations, bridges, tunnels </w:t>
      </w:r>
    </w:p>
  </w:footnote>
  <w:footnote w:id="28">
    <w:p w:rsidR="00100058" w:rsidRPr="00006EA4" w:rsidRDefault="00100058" w:rsidP="00802A00">
      <w:pPr>
        <w:pStyle w:val="FootnoteText"/>
        <w:rPr>
          <w:lang w:val="en-GB"/>
        </w:rPr>
      </w:pPr>
      <w:r>
        <w:rPr>
          <w:rStyle w:val="FootnoteReference"/>
        </w:rPr>
        <w:footnoteRef/>
      </w:r>
      <w:r w:rsidRPr="00006EA4">
        <w:rPr>
          <w:lang w:val="en-GB"/>
        </w:rPr>
        <w:t xml:space="preserve"> Includes construction, maintenance and operation </w:t>
      </w:r>
    </w:p>
  </w:footnote>
  <w:footnote w:id="29">
    <w:p w:rsidR="00100058" w:rsidRPr="00006EA4" w:rsidRDefault="00100058" w:rsidP="00802A00">
      <w:pPr>
        <w:pStyle w:val="FootnoteText"/>
        <w:rPr>
          <w:lang w:val="en-GB"/>
        </w:rPr>
      </w:pPr>
      <w:r>
        <w:rPr>
          <w:rStyle w:val="FootnoteReference"/>
        </w:rPr>
        <w:footnoteRef/>
      </w:r>
      <w:r w:rsidRPr="00006EA4">
        <w:rPr>
          <w:lang w:val="en-GB"/>
        </w:rPr>
        <w:t xml:space="preserve"> </w:t>
      </w:r>
      <w:r>
        <w:rPr>
          <w:lang w:val="en-GB"/>
        </w:rPr>
        <w:t xml:space="preserve">Buses and </w:t>
      </w:r>
      <w:r w:rsidRPr="00006EA4">
        <w:rPr>
          <w:lang w:val="en-GB"/>
        </w:rPr>
        <w:t>truck</w:t>
      </w:r>
      <w:r>
        <w:rPr>
          <w:lang w:val="en-GB"/>
        </w:rPr>
        <w:t>s</w:t>
      </w:r>
      <w:r w:rsidRPr="00006EA4">
        <w:rPr>
          <w:lang w:val="en-GB"/>
        </w:rPr>
        <w:t xml:space="preserve"> </w:t>
      </w:r>
    </w:p>
  </w:footnote>
  <w:footnote w:id="30">
    <w:p w:rsidR="00100058" w:rsidRPr="00424C1D" w:rsidRDefault="00100058">
      <w:pPr>
        <w:pStyle w:val="FootnoteText"/>
        <w:rPr>
          <w:lang w:val="en-GB"/>
        </w:rPr>
      </w:pPr>
      <w:r>
        <w:rPr>
          <w:rStyle w:val="FootnoteReference"/>
        </w:rPr>
        <w:footnoteRef/>
      </w:r>
      <w:r w:rsidRPr="00424C1D">
        <w:rPr>
          <w:lang w:val="en-GB"/>
        </w:rPr>
        <w:t xml:space="preserve"> </w:t>
      </w:r>
      <w:r>
        <w:rPr>
          <w:lang w:val="en-GB"/>
        </w:rPr>
        <w:t>Jahan based on World Bank</w:t>
      </w:r>
    </w:p>
  </w:footnote>
  <w:footnote w:id="31">
    <w:p w:rsidR="00100058" w:rsidRPr="00256D11" w:rsidRDefault="00100058" w:rsidP="00E929B0">
      <w:pPr>
        <w:pStyle w:val="FootnoteText"/>
        <w:rPr>
          <w:lang w:val="en-GB"/>
        </w:rPr>
      </w:pPr>
      <w:r>
        <w:rPr>
          <w:rStyle w:val="FootnoteReference"/>
        </w:rPr>
        <w:footnoteRef/>
      </w:r>
      <w:r w:rsidRPr="00256D11">
        <w:rPr>
          <w:lang w:val="en-GB"/>
        </w:rPr>
        <w:t xml:space="preserve"> http://cdm.unfccc.int/methodologies/PAmethodologies/approved</w:t>
      </w:r>
    </w:p>
  </w:footnote>
  <w:footnote w:id="32">
    <w:p w:rsidR="00100058" w:rsidRPr="00424C1D" w:rsidRDefault="00100058">
      <w:pPr>
        <w:pStyle w:val="FootnoteText"/>
        <w:rPr>
          <w:lang w:val="en-GB"/>
        </w:rPr>
      </w:pPr>
      <w:r>
        <w:rPr>
          <w:rStyle w:val="FootnoteReference"/>
        </w:rPr>
        <w:footnoteRef/>
      </w:r>
      <w:r w:rsidRPr="00424C1D">
        <w:rPr>
          <w:lang w:val="en-GB"/>
        </w:rPr>
        <w:t xml:space="preserve"> </w:t>
      </w:r>
      <w:r>
        <w:rPr>
          <w:lang w:val="en-GB"/>
        </w:rPr>
        <w:t>Survey realized by Grütter Consulting in India, 2013 for rail NAMA: see Grütter Consulting, 2014</w:t>
      </w:r>
    </w:p>
  </w:footnote>
  <w:footnote w:id="33">
    <w:p w:rsidR="00100058" w:rsidRPr="007213E7" w:rsidRDefault="00100058">
      <w:pPr>
        <w:pStyle w:val="FootnoteText"/>
        <w:rPr>
          <w:lang w:val="en-GB"/>
        </w:rPr>
      </w:pPr>
      <w:r>
        <w:rPr>
          <w:rStyle w:val="FootnoteReference"/>
        </w:rPr>
        <w:footnoteRef/>
      </w:r>
      <w:r w:rsidRPr="007213E7">
        <w:rPr>
          <w:lang w:val="en-GB"/>
        </w:rPr>
        <w:t xml:space="preserve"> </w:t>
      </w:r>
      <w:r>
        <w:rPr>
          <w:lang w:val="en-GB"/>
        </w:rPr>
        <w:t>For rail based on registered pkm and tkm and the total fuel consumed</w:t>
      </w:r>
    </w:p>
  </w:footnote>
  <w:footnote w:id="34">
    <w:p w:rsidR="00100058" w:rsidRPr="003B180C" w:rsidRDefault="00100058">
      <w:pPr>
        <w:pStyle w:val="FootnoteText"/>
        <w:rPr>
          <w:lang w:val="en-GB"/>
        </w:rPr>
      </w:pPr>
      <w:r>
        <w:rPr>
          <w:rStyle w:val="FootnoteReference"/>
        </w:rPr>
        <w:footnoteRef/>
      </w:r>
      <w:r w:rsidRPr="003B180C">
        <w:rPr>
          <w:lang w:val="en-GB"/>
        </w:rPr>
        <w:t xml:space="preserve"> </w:t>
      </w:r>
      <w:r>
        <w:rPr>
          <w:lang w:val="en-GB"/>
        </w:rPr>
        <w:t>Grütter Consulting, 2016a</w:t>
      </w:r>
    </w:p>
  </w:footnote>
  <w:footnote w:id="35">
    <w:p w:rsidR="00100058" w:rsidRPr="00C707AE" w:rsidRDefault="00100058">
      <w:pPr>
        <w:pStyle w:val="FootnoteText"/>
        <w:rPr>
          <w:lang w:val="en-GB"/>
        </w:rPr>
      </w:pPr>
      <w:r>
        <w:rPr>
          <w:rStyle w:val="FootnoteReference"/>
        </w:rPr>
        <w:footnoteRef/>
      </w:r>
      <w:r w:rsidRPr="00C707AE">
        <w:rPr>
          <w:lang w:val="en-GB"/>
        </w:rPr>
        <w:t xml:space="preserve"> </w:t>
      </w:r>
      <w:r>
        <w:rPr>
          <w:lang w:val="en-GB"/>
        </w:rPr>
        <w:t>For Euro I the value would be 37 l/100km; EMEP/EEA, 2014</w:t>
      </w:r>
    </w:p>
  </w:footnote>
  <w:footnote w:id="36">
    <w:p w:rsidR="00100058" w:rsidRPr="003B180C" w:rsidRDefault="00100058">
      <w:pPr>
        <w:pStyle w:val="FootnoteText"/>
        <w:rPr>
          <w:lang w:val="en-GB"/>
        </w:rPr>
      </w:pPr>
      <w:r>
        <w:rPr>
          <w:rStyle w:val="FootnoteReference"/>
        </w:rPr>
        <w:footnoteRef/>
      </w:r>
      <w:r w:rsidRPr="003B180C">
        <w:rPr>
          <w:lang w:val="en-GB"/>
        </w:rPr>
        <w:t xml:space="preserve"> </w:t>
      </w:r>
      <w:r>
        <w:rPr>
          <w:lang w:val="en-GB"/>
        </w:rPr>
        <w:t>Grütter Consulting, 2016b</w:t>
      </w:r>
    </w:p>
  </w:footnote>
  <w:footnote w:id="37">
    <w:p w:rsidR="00100058" w:rsidRPr="003B180C" w:rsidRDefault="00100058">
      <w:pPr>
        <w:pStyle w:val="FootnoteText"/>
        <w:rPr>
          <w:lang w:val="en-GB"/>
        </w:rPr>
      </w:pPr>
      <w:r>
        <w:rPr>
          <w:rStyle w:val="FootnoteReference"/>
        </w:rPr>
        <w:footnoteRef/>
      </w:r>
      <w:r w:rsidRPr="003B180C">
        <w:rPr>
          <w:lang w:val="en-GB"/>
        </w:rPr>
        <w:t xml:space="preserve"> </w:t>
      </w:r>
      <w:r>
        <w:rPr>
          <w:lang w:val="en-GB"/>
        </w:rPr>
        <w:t>For Euro I the value would be 31 l/100km; EMEP/EEA, 2014</w:t>
      </w:r>
    </w:p>
  </w:footnote>
  <w:footnote w:id="38">
    <w:p w:rsidR="00100058" w:rsidRPr="00B63622" w:rsidRDefault="00100058">
      <w:pPr>
        <w:pStyle w:val="FootnoteText"/>
        <w:rPr>
          <w:lang w:val="en-GB"/>
        </w:rPr>
      </w:pPr>
      <w:r>
        <w:rPr>
          <w:rStyle w:val="FootnoteReference"/>
        </w:rPr>
        <w:footnoteRef/>
      </w:r>
      <w:r w:rsidRPr="00B63622">
        <w:rPr>
          <w:lang w:val="en-GB"/>
        </w:rPr>
        <w:t xml:space="preserve"> </w:t>
      </w:r>
      <w:r>
        <w:rPr>
          <w:lang w:val="en-GB"/>
        </w:rPr>
        <w:t>EMEP/EEA, 2014</w:t>
      </w:r>
    </w:p>
  </w:footnote>
  <w:footnote w:id="39">
    <w:p w:rsidR="00100058" w:rsidRPr="00B63622" w:rsidRDefault="00100058">
      <w:pPr>
        <w:pStyle w:val="FootnoteText"/>
        <w:rPr>
          <w:lang w:val="en-GB"/>
        </w:rPr>
      </w:pPr>
      <w:r>
        <w:rPr>
          <w:rStyle w:val="FootnoteReference"/>
        </w:rPr>
        <w:footnoteRef/>
      </w:r>
      <w:r w:rsidRPr="00B63622">
        <w:rPr>
          <w:lang w:val="en-GB"/>
        </w:rPr>
        <w:t xml:space="preserve"> </w:t>
      </w:r>
      <w:r>
        <w:rPr>
          <w:lang w:val="en-GB"/>
        </w:rPr>
        <w:t>EMEP/EEA, 2014</w:t>
      </w:r>
    </w:p>
  </w:footnote>
  <w:footnote w:id="40">
    <w:p w:rsidR="00100058" w:rsidRPr="00096CC4" w:rsidRDefault="00100058">
      <w:pPr>
        <w:pStyle w:val="FootnoteText"/>
        <w:rPr>
          <w:lang w:val="en-GB"/>
        </w:rPr>
      </w:pPr>
      <w:r>
        <w:rPr>
          <w:rStyle w:val="FootnoteReference"/>
        </w:rPr>
        <w:footnoteRef/>
      </w:r>
      <w:r w:rsidRPr="00096CC4">
        <w:rPr>
          <w:lang w:val="en-GB"/>
        </w:rPr>
        <w:t xml:space="preserve"> </w:t>
      </w:r>
      <w:r>
        <w:rPr>
          <w:lang w:val="en-GB"/>
        </w:rPr>
        <w:t>EMEP/EEA, 2014</w:t>
      </w:r>
    </w:p>
  </w:footnote>
  <w:footnote w:id="41">
    <w:p w:rsidR="00100058" w:rsidRPr="00864A64" w:rsidRDefault="00100058">
      <w:pPr>
        <w:pStyle w:val="FootnoteText"/>
        <w:rPr>
          <w:lang w:val="en-GB"/>
        </w:rPr>
      </w:pPr>
      <w:r>
        <w:rPr>
          <w:rStyle w:val="FootnoteReference"/>
        </w:rPr>
        <w:footnoteRef/>
      </w:r>
      <w:r w:rsidRPr="00864A64">
        <w:rPr>
          <w:lang w:val="en-GB"/>
        </w:rPr>
        <w:t xml:space="preserve"> http://www.tradingeconomics.com/bangladesh/gdp-growth/forecast</w:t>
      </w:r>
    </w:p>
  </w:footnote>
  <w:footnote w:id="42">
    <w:p w:rsidR="00100058" w:rsidRPr="000115A2" w:rsidRDefault="00100058">
      <w:pPr>
        <w:pStyle w:val="FootnoteText"/>
        <w:rPr>
          <w:lang w:val="en-GB"/>
        </w:rPr>
      </w:pPr>
      <w:r>
        <w:rPr>
          <w:rStyle w:val="FootnoteReference"/>
        </w:rPr>
        <w:footnoteRef/>
      </w:r>
      <w:r w:rsidRPr="000115A2">
        <w:rPr>
          <w:lang w:val="en-GB"/>
        </w:rPr>
        <w:t xml:space="preserve"> http://www.ifs.du.edu/ifs/frm_CountryProfile.aspx?Country=BD</w:t>
      </w:r>
    </w:p>
  </w:footnote>
  <w:footnote w:id="43">
    <w:p w:rsidR="00100058" w:rsidRPr="00FC17CE" w:rsidRDefault="00100058">
      <w:pPr>
        <w:pStyle w:val="FootnoteText"/>
        <w:rPr>
          <w:lang w:val="en-GB"/>
        </w:rPr>
      </w:pPr>
      <w:r>
        <w:rPr>
          <w:rStyle w:val="FootnoteReference"/>
        </w:rPr>
        <w:footnoteRef/>
      </w:r>
      <w:r w:rsidRPr="00FC17CE">
        <w:rPr>
          <w:lang w:val="en-GB"/>
        </w:rPr>
        <w:t xml:space="preserve"> </w:t>
      </w:r>
      <w:r>
        <w:rPr>
          <w:lang w:val="en-GB"/>
        </w:rPr>
        <w:t>Grütter Consulting, 2014; calculation for period 2000 to 2011</w:t>
      </w:r>
    </w:p>
  </w:footnote>
  <w:footnote w:id="44">
    <w:p w:rsidR="00100058" w:rsidRPr="00FC17CE" w:rsidRDefault="00100058" w:rsidP="00FC17CE">
      <w:pPr>
        <w:pStyle w:val="FootnoteText"/>
        <w:rPr>
          <w:lang w:val="en-GB"/>
        </w:rPr>
      </w:pPr>
      <w:r>
        <w:rPr>
          <w:rStyle w:val="FootnoteReference"/>
        </w:rPr>
        <w:footnoteRef/>
      </w:r>
      <w:r w:rsidRPr="00FC17CE">
        <w:rPr>
          <w:lang w:val="en-GB"/>
        </w:rPr>
        <w:t xml:space="preserve"> </w:t>
      </w:r>
      <w:r>
        <w:rPr>
          <w:lang w:val="en-GB"/>
        </w:rPr>
        <w:t>Grütter Consulting, 2014; calculation for period 2000 to 2011</w:t>
      </w:r>
    </w:p>
  </w:footnote>
  <w:footnote w:id="45">
    <w:p w:rsidR="00100058" w:rsidRPr="00FC17CE" w:rsidRDefault="00100058">
      <w:pPr>
        <w:pStyle w:val="FootnoteText"/>
        <w:rPr>
          <w:lang w:val="en-GB"/>
        </w:rPr>
      </w:pPr>
      <w:r>
        <w:rPr>
          <w:rStyle w:val="FootnoteReference"/>
        </w:rPr>
        <w:footnoteRef/>
      </w:r>
      <w:r w:rsidRPr="00FC17CE">
        <w:rPr>
          <w:lang w:val="en-GB"/>
        </w:rPr>
        <w:t xml:space="preserve"> </w:t>
      </w:r>
      <w:r>
        <w:rPr>
          <w:lang w:val="en-GB"/>
        </w:rPr>
        <w:t>BR Master Plan, chapter 4</w:t>
      </w:r>
    </w:p>
  </w:footnote>
  <w:footnote w:id="46">
    <w:p w:rsidR="00100058" w:rsidRPr="00DD60F5" w:rsidRDefault="00100058">
      <w:pPr>
        <w:pStyle w:val="FootnoteText"/>
        <w:rPr>
          <w:lang w:val="en-GB"/>
        </w:rPr>
      </w:pPr>
      <w:r>
        <w:rPr>
          <w:rStyle w:val="FootnoteReference"/>
        </w:rPr>
        <w:footnoteRef/>
      </w:r>
      <w:r w:rsidRPr="00DD60F5">
        <w:rPr>
          <w:lang w:val="en-GB"/>
        </w:rPr>
        <w:t xml:space="preserve"> </w:t>
      </w:r>
      <w:r>
        <w:rPr>
          <w:lang w:val="en-GB"/>
        </w:rPr>
        <w:t>Range always from TTW to WTW incl. BC</w:t>
      </w:r>
    </w:p>
  </w:footnote>
  <w:footnote w:id="47">
    <w:p w:rsidR="00100058" w:rsidRPr="00DD60F5" w:rsidRDefault="00100058">
      <w:pPr>
        <w:pStyle w:val="FootnoteText"/>
        <w:rPr>
          <w:lang w:val="en-GB"/>
        </w:rPr>
      </w:pPr>
      <w:r>
        <w:rPr>
          <w:rStyle w:val="FootnoteReference"/>
        </w:rPr>
        <w:footnoteRef/>
      </w:r>
      <w:r w:rsidRPr="00DD60F5">
        <w:rPr>
          <w:lang w:val="en-GB"/>
        </w:rPr>
        <w:t xml:space="preserve"> </w:t>
      </w:r>
      <w:r>
        <w:rPr>
          <w:lang w:val="en-GB"/>
        </w:rPr>
        <w:t>Based on constant GHG reductions from 2030 onwards for 25 additional years on average (actions are implemented gradually 2017 to 2030)</w:t>
      </w:r>
    </w:p>
  </w:footnote>
  <w:footnote w:id="48">
    <w:p w:rsidR="00100058" w:rsidRPr="00256D11" w:rsidRDefault="00100058" w:rsidP="00256D11">
      <w:pPr>
        <w:pStyle w:val="FootnoteText"/>
        <w:rPr>
          <w:lang w:val="en-GB"/>
        </w:rPr>
      </w:pPr>
      <w:r>
        <w:rPr>
          <w:rStyle w:val="FootnoteReference"/>
        </w:rPr>
        <w:footnoteRef/>
      </w:r>
      <w:r w:rsidRPr="00256D11">
        <w:rPr>
          <w:lang w:val="en-GB"/>
        </w:rPr>
        <w:t xml:space="preserve"> Includes only construction and not road maintenance</w:t>
      </w:r>
    </w:p>
  </w:footnote>
  <w:footnote w:id="49">
    <w:p w:rsidR="00100058" w:rsidRPr="00256D11" w:rsidRDefault="00100058" w:rsidP="00256D11">
      <w:pPr>
        <w:pStyle w:val="FootnoteText"/>
        <w:rPr>
          <w:lang w:val="en-GB"/>
        </w:rPr>
      </w:pPr>
      <w:r>
        <w:rPr>
          <w:rStyle w:val="FootnoteReference"/>
        </w:rPr>
        <w:footnoteRef/>
      </w:r>
      <w:r w:rsidRPr="00256D11">
        <w:rPr>
          <w:lang w:val="en-GB"/>
        </w:rPr>
        <w:t xml:space="preserve"> Construction only; based on Changer model of the International Road Federation IRF</w:t>
      </w:r>
    </w:p>
  </w:footnote>
  <w:footnote w:id="50">
    <w:p w:rsidR="00100058" w:rsidRPr="00256D11" w:rsidRDefault="00100058" w:rsidP="00256D11">
      <w:pPr>
        <w:pStyle w:val="FootnoteText"/>
        <w:rPr>
          <w:lang w:val="en-GB"/>
        </w:rPr>
      </w:pPr>
      <w:r>
        <w:rPr>
          <w:rStyle w:val="FootnoteReference"/>
        </w:rPr>
        <w:footnoteRef/>
      </w:r>
      <w:r w:rsidRPr="00256D11">
        <w:rPr>
          <w:lang w:val="en-GB"/>
        </w:rPr>
        <w:t xml:space="preserve"> Asphalt roads at the lower end and concrete roads at the higher end for construction and the reverse for maintenance; the total of both is very similar for asphalt or concrete roads; includes construction and maintenance</w:t>
      </w:r>
    </w:p>
  </w:footnote>
  <w:footnote w:id="51">
    <w:p w:rsidR="00100058" w:rsidRPr="00256D11" w:rsidRDefault="00100058" w:rsidP="00256D11">
      <w:pPr>
        <w:pStyle w:val="FootnoteText"/>
        <w:rPr>
          <w:lang w:val="en-GB"/>
        </w:rPr>
      </w:pPr>
      <w:r>
        <w:rPr>
          <w:rStyle w:val="FootnoteReference"/>
        </w:rPr>
        <w:footnoteRef/>
      </w:r>
      <w:r w:rsidRPr="00256D11">
        <w:rPr>
          <w:lang w:val="en-GB"/>
        </w:rPr>
        <w:t xml:space="preserve"> Hill, 2012; EUPave, 2011; GEF,</w:t>
      </w:r>
      <w:r>
        <w:rPr>
          <w:lang w:val="en-GB"/>
        </w:rPr>
        <w:t xml:space="preserve"> 2015; </w:t>
      </w:r>
      <w:r w:rsidRPr="00256D11">
        <w:rPr>
          <w:lang w:val="en-GB"/>
        </w:rPr>
        <w:t>World</w:t>
      </w:r>
      <w:r>
        <w:rPr>
          <w:lang w:val="en-GB"/>
        </w:rPr>
        <w:t xml:space="preserve"> Bank, </w:t>
      </w:r>
      <w:r w:rsidRPr="00256D11">
        <w:rPr>
          <w:lang w:val="en-GB"/>
        </w:rPr>
        <w:t>2011</w:t>
      </w:r>
    </w:p>
  </w:footnote>
  <w:footnote w:id="52">
    <w:p w:rsidR="00100058" w:rsidRPr="00256D11" w:rsidRDefault="00100058" w:rsidP="00256D11">
      <w:pPr>
        <w:pStyle w:val="FootnoteText"/>
        <w:rPr>
          <w:lang w:val="en-GB"/>
        </w:rPr>
      </w:pPr>
      <w:r>
        <w:rPr>
          <w:rStyle w:val="FootnoteReference"/>
        </w:rPr>
        <w:footnoteRef/>
      </w:r>
      <w:r w:rsidRPr="00256D11">
        <w:rPr>
          <w:lang w:val="en-GB"/>
        </w:rPr>
        <w:t xml:space="preserve"> Hill, N. et al, </w:t>
      </w:r>
      <w:r>
        <w:rPr>
          <w:lang w:val="en-GB"/>
        </w:rPr>
        <w:t>2012, table 3.8</w:t>
      </w:r>
    </w:p>
  </w:footnote>
  <w:footnote w:id="53">
    <w:p w:rsidR="00100058" w:rsidRPr="00256D11" w:rsidRDefault="00100058" w:rsidP="00256D11">
      <w:pPr>
        <w:pStyle w:val="FootnoteText"/>
        <w:rPr>
          <w:lang w:val="en-GB"/>
        </w:rPr>
      </w:pPr>
      <w:r>
        <w:rPr>
          <w:rStyle w:val="FootnoteReference"/>
        </w:rPr>
        <w:footnoteRef/>
      </w:r>
      <w:r w:rsidRPr="00256D11">
        <w:rPr>
          <w:lang w:val="en-GB"/>
        </w:rPr>
        <w:t xml:space="preserve"> GEF, </w:t>
      </w:r>
      <w:r>
        <w:rPr>
          <w:bCs/>
          <w:lang w:val="en-GB"/>
        </w:rPr>
        <w:t>2015</w:t>
      </w:r>
    </w:p>
  </w:footnote>
  <w:footnote w:id="54">
    <w:p w:rsidR="00100058" w:rsidRPr="00A15DAB" w:rsidRDefault="00100058">
      <w:pPr>
        <w:pStyle w:val="FootnoteText"/>
        <w:rPr>
          <w:lang w:val="en-GB"/>
        </w:rPr>
      </w:pPr>
      <w:r>
        <w:rPr>
          <w:rStyle w:val="FootnoteReference"/>
        </w:rPr>
        <w:footnoteRef/>
      </w:r>
      <w:r w:rsidRPr="00EC2775">
        <w:rPr>
          <w:lang w:val="en-GB"/>
        </w:rPr>
        <w:t xml:space="preserve"> </w:t>
      </w:r>
      <w:r>
        <w:rPr>
          <w:lang w:val="en-GB"/>
        </w:rPr>
        <w:t>Highways Agency, 1999</w:t>
      </w:r>
    </w:p>
  </w:footnote>
  <w:footnote w:id="55">
    <w:p w:rsidR="00100058" w:rsidRPr="00256D11" w:rsidRDefault="00100058" w:rsidP="00256D11">
      <w:pPr>
        <w:pStyle w:val="FootnoteText"/>
        <w:rPr>
          <w:lang w:val="en-GB"/>
        </w:rPr>
      </w:pPr>
      <w:r>
        <w:rPr>
          <w:rStyle w:val="FootnoteReference"/>
        </w:rPr>
        <w:footnoteRef/>
      </w:r>
      <w:r w:rsidRPr="00256D11">
        <w:rPr>
          <w:lang w:val="en-GB"/>
        </w:rPr>
        <w:t xml:space="preserve"> ecoinvent Transport Services data version 2.0, 2007</w:t>
      </w:r>
    </w:p>
  </w:footnote>
  <w:footnote w:id="56">
    <w:p w:rsidR="00100058" w:rsidRPr="00ED622F" w:rsidRDefault="00100058" w:rsidP="00256D11">
      <w:pPr>
        <w:pStyle w:val="FootnoteText"/>
        <w:rPr>
          <w:lang w:val="en-GB"/>
        </w:rPr>
      </w:pPr>
      <w:r>
        <w:rPr>
          <w:rStyle w:val="FootnoteReference"/>
        </w:rPr>
        <w:footnoteRef/>
      </w:r>
      <w:r w:rsidRPr="00256D11">
        <w:rPr>
          <w:lang w:val="en-GB"/>
        </w:rPr>
        <w:t xml:space="preserve"> Hill, 2012; 104 tCO</w:t>
      </w:r>
      <w:r w:rsidRPr="00256D11">
        <w:rPr>
          <w:vertAlign w:val="subscript"/>
          <w:lang w:val="en-GB"/>
        </w:rPr>
        <w:t>2</w:t>
      </w:r>
      <w:r w:rsidRPr="00256D11">
        <w:rPr>
          <w:lang w:val="en-GB"/>
        </w:rPr>
        <w:t xml:space="preserve"> emissions per electric rail vehicle including end of life disposal/recycling; idem assumed for diesel locos. </w:t>
      </w:r>
      <w:r w:rsidRPr="00ED622F">
        <w:rPr>
          <w:lang w:val="en-GB"/>
        </w:rPr>
        <w:t xml:space="preserve">50% of value assumed for carriages. </w:t>
      </w:r>
    </w:p>
  </w:footnote>
  <w:footnote w:id="57">
    <w:p w:rsidR="00100058" w:rsidRPr="00256D11" w:rsidRDefault="00100058" w:rsidP="00256D11">
      <w:pPr>
        <w:pStyle w:val="FootnoteText"/>
        <w:rPr>
          <w:lang w:val="en-GB"/>
        </w:rPr>
      </w:pPr>
      <w:r>
        <w:rPr>
          <w:rStyle w:val="FootnoteReference"/>
        </w:rPr>
        <w:footnoteRef/>
      </w:r>
      <w:r w:rsidRPr="00256D11">
        <w:rPr>
          <w:lang w:val="en-GB"/>
        </w:rPr>
        <w:t xml:space="preserve"> Negative effect means that less traffic would occur i.e. less induced traffic</w:t>
      </w:r>
    </w:p>
  </w:footnote>
  <w:footnote w:id="58">
    <w:p w:rsidR="00100058" w:rsidRPr="00850B34" w:rsidRDefault="00100058" w:rsidP="00850B34">
      <w:pPr>
        <w:pStyle w:val="FootnoteText"/>
        <w:rPr>
          <w:lang w:val="en-GB"/>
        </w:rPr>
      </w:pPr>
      <w:r>
        <w:rPr>
          <w:rStyle w:val="FootnoteReference"/>
        </w:rPr>
        <w:footnoteRef/>
      </w:r>
      <w:r w:rsidRPr="00850B34">
        <w:rPr>
          <w:lang w:val="en-GB"/>
        </w:rPr>
        <w:t xml:space="preserve"> </w:t>
      </w:r>
      <w:r>
        <w:rPr>
          <w:lang w:val="en-GB"/>
        </w:rPr>
        <w:t>0.87</w:t>
      </w:r>
      <w:r w:rsidRPr="00850B34">
        <w:rPr>
          <w:lang w:val="en-GB"/>
        </w:rPr>
        <w:t xml:space="preserve"> USD/l </w:t>
      </w:r>
      <w:r>
        <w:rPr>
          <w:lang w:val="en-GB"/>
        </w:rPr>
        <w:t xml:space="preserve">as of end of February 2016; </w:t>
      </w:r>
      <w:hyperlink r:id="rId1" w:history="1">
        <w:r w:rsidRPr="003937BA">
          <w:rPr>
            <w:rStyle w:val="Hyperlink"/>
            <w:lang w:val="en-GB"/>
          </w:rPr>
          <w:t>http://www.globalpetrolprices.com/Bangladesh/diesel_prices/</w:t>
        </w:r>
      </w:hyperlink>
    </w:p>
  </w:footnote>
  <w:footnote w:id="59">
    <w:p w:rsidR="00100058" w:rsidRDefault="00100058" w:rsidP="00850B34">
      <w:pPr>
        <w:pStyle w:val="FootnoteText"/>
        <w:rPr>
          <w:lang w:val="en-GB"/>
        </w:rPr>
      </w:pPr>
      <w:r>
        <w:rPr>
          <w:rStyle w:val="FootnoteReference"/>
        </w:rPr>
        <w:footnoteRef/>
      </w:r>
      <w:r>
        <w:rPr>
          <w:lang w:val="en-GB"/>
        </w:rPr>
        <w:t xml:space="preserve"> </w:t>
      </w:r>
      <w:r w:rsidRPr="00850B34">
        <w:rPr>
          <w:lang w:val="en-GB"/>
        </w:rPr>
        <w:t xml:space="preserve">USD of 2015; </w:t>
      </w:r>
      <w:r>
        <w:rPr>
          <w:lang w:val="en-GB"/>
        </w:rPr>
        <w:t xml:space="preserve">IMF, 2014 (USD 2015 using </w:t>
      </w:r>
      <w:r w:rsidRPr="00850B34">
        <w:rPr>
          <w:lang w:val="en-GB"/>
        </w:rPr>
        <w:t>http://stats.areppim.com/calc/calc_usdlrxdeflator.php)</w:t>
      </w:r>
    </w:p>
  </w:footnote>
  <w:footnote w:id="60">
    <w:p w:rsidR="00100058" w:rsidRPr="001F0760" w:rsidRDefault="00100058">
      <w:pPr>
        <w:pStyle w:val="FootnoteText"/>
        <w:rPr>
          <w:lang w:val="en-GB"/>
        </w:rPr>
      </w:pPr>
      <w:r>
        <w:rPr>
          <w:rStyle w:val="FootnoteReference"/>
        </w:rPr>
        <w:footnoteRef/>
      </w:r>
      <w:r w:rsidRPr="001F0760">
        <w:rPr>
          <w:lang w:val="en-GB"/>
        </w:rPr>
        <w:t xml:space="preserve"> </w:t>
      </w:r>
      <w:r w:rsidRPr="009D1083">
        <w:rPr>
          <w:lang w:val="en-GB"/>
        </w:rPr>
        <w:t xml:space="preserve">Bangladesh Petroleum Corporation; see </w:t>
      </w:r>
      <w:hyperlink r:id="rId2" w:history="1">
        <w:r w:rsidRPr="009D1083">
          <w:rPr>
            <w:rStyle w:val="Hyperlink"/>
            <w:lang w:val="en-GB"/>
          </w:rPr>
          <w:t>http://www.bpc.gov.bd/contactus.php?id=30</w:t>
        </w:r>
      </w:hyperlink>
    </w:p>
  </w:footnote>
  <w:footnote w:id="61">
    <w:p w:rsidR="00100058" w:rsidRPr="00106F09" w:rsidRDefault="00100058">
      <w:pPr>
        <w:pStyle w:val="FootnoteText"/>
        <w:rPr>
          <w:lang w:val="en-GB"/>
        </w:rPr>
      </w:pPr>
      <w:r>
        <w:rPr>
          <w:rStyle w:val="FootnoteReference"/>
        </w:rPr>
        <w:footnoteRef/>
      </w:r>
      <w:r w:rsidRPr="00106F09">
        <w:rPr>
          <w:lang w:val="en-GB"/>
        </w:rPr>
        <w:t xml:space="preserve"> Reference price diesel based on New York Harbor Ultra-Low Sulfur No 2 Diesel Spot Price, US$ per gallon; price as of 29.2.2016 1.07 USD/gallon (source: indexmundi) plus 0.1 USD/l for</w:t>
      </w:r>
      <w:r>
        <w:rPr>
          <w:lang w:val="en-GB"/>
        </w:rPr>
        <w:t xml:space="preserve"> distribution and 0.1 USD/l for international</w:t>
      </w:r>
      <w:r w:rsidRPr="00106F09">
        <w:rPr>
          <w:lang w:val="en-GB"/>
        </w:rPr>
        <w:t xml:space="preserve"> Transportation based on IMF, 2013</w:t>
      </w:r>
    </w:p>
  </w:footnote>
  <w:footnote w:id="62">
    <w:p w:rsidR="00100058" w:rsidRPr="000A18BB" w:rsidRDefault="00100058">
      <w:pPr>
        <w:pStyle w:val="FootnoteText"/>
        <w:rPr>
          <w:lang w:val="en-GB"/>
        </w:rPr>
      </w:pPr>
      <w:r>
        <w:rPr>
          <w:rStyle w:val="FootnoteReference"/>
        </w:rPr>
        <w:footnoteRef/>
      </w:r>
      <w:r w:rsidRPr="000A18BB">
        <w:rPr>
          <w:lang w:val="en-GB"/>
        </w:rPr>
        <w:t xml:space="preserve"> Damage from vehicle and other ground-level sources is extrapolated from a city-level database on pollution intake rates. This results in costs for damage of local air pollution for Bangladesh</w:t>
      </w:r>
    </w:p>
  </w:footnote>
  <w:footnote w:id="63">
    <w:p w:rsidR="00100058" w:rsidRPr="004552A8" w:rsidRDefault="00100058">
      <w:pPr>
        <w:pStyle w:val="FootnoteText"/>
        <w:rPr>
          <w:lang w:val="en-GB"/>
        </w:rPr>
      </w:pPr>
      <w:r>
        <w:rPr>
          <w:rStyle w:val="FootnoteReference"/>
        </w:rPr>
        <w:footnoteRef/>
      </w:r>
      <w:r w:rsidRPr="004552A8">
        <w:rPr>
          <w:lang w:val="en-GB"/>
        </w:rPr>
        <w:t xml:space="preserve"> </w:t>
      </w:r>
      <w:r>
        <w:rPr>
          <w:lang w:val="en-GB"/>
        </w:rPr>
        <w:t>Exchange rate of 78 BDT to USD</w:t>
      </w:r>
    </w:p>
  </w:footnote>
  <w:footnote w:id="64">
    <w:p w:rsidR="00100058" w:rsidRPr="00B44DD3" w:rsidRDefault="00100058">
      <w:pPr>
        <w:pStyle w:val="FootnoteText"/>
        <w:rPr>
          <w:lang w:val="en-GB"/>
        </w:rPr>
      </w:pPr>
      <w:r>
        <w:rPr>
          <w:rStyle w:val="FootnoteReference"/>
        </w:rPr>
        <w:footnoteRef/>
      </w:r>
      <w:r w:rsidRPr="00B44DD3">
        <w:rPr>
          <w:lang w:val="en-GB"/>
        </w:rPr>
        <w:t xml:space="preserve"> </w:t>
      </w:r>
      <w:r>
        <w:rPr>
          <w:lang w:val="en-GB"/>
        </w:rPr>
        <w:t xml:space="preserve">Excludes benefits of GHG reduction; calculation based on constant benefits from 2030 onwards for 30 years and total benefits period 2015 to 2030 (gradual implementation of investments) </w:t>
      </w:r>
    </w:p>
  </w:footnote>
  <w:footnote w:id="65">
    <w:p w:rsidR="00100058" w:rsidRPr="00C356C8" w:rsidRDefault="00100058">
      <w:pPr>
        <w:pStyle w:val="FootnoteText"/>
        <w:rPr>
          <w:lang w:val="en-GB"/>
        </w:rPr>
      </w:pPr>
      <w:r>
        <w:rPr>
          <w:rStyle w:val="FootnoteReference"/>
        </w:rPr>
        <w:footnoteRef/>
      </w:r>
      <w:r w:rsidRPr="00C356C8">
        <w:rPr>
          <w:lang w:val="en-GB"/>
        </w:rPr>
        <w:t xml:space="preserve"> </w:t>
      </w:r>
      <w:r>
        <w:rPr>
          <w:lang w:val="en-GB"/>
        </w:rPr>
        <w:t xml:space="preserve">See for more information </w:t>
      </w:r>
      <w:r w:rsidRPr="00C356C8">
        <w:rPr>
          <w:lang w:val="en-GB"/>
        </w:rPr>
        <w:t>http://www.nama-facility.org/projects/portfolio.html</w:t>
      </w:r>
    </w:p>
  </w:footnote>
  <w:footnote w:id="66">
    <w:p w:rsidR="00100058" w:rsidRPr="00A43486" w:rsidRDefault="00100058">
      <w:pPr>
        <w:pStyle w:val="FootnoteText"/>
        <w:rPr>
          <w:lang w:val="en-GB"/>
        </w:rPr>
      </w:pPr>
      <w:r>
        <w:rPr>
          <w:rStyle w:val="FootnoteReference"/>
        </w:rPr>
        <w:footnoteRef/>
      </w:r>
      <w:r w:rsidRPr="00A43486">
        <w:rPr>
          <w:lang w:val="en-GB"/>
        </w:rPr>
        <w:t xml:space="preserve"> The interval of 5 years is thereby based upon slow and only minor annual changes of the parameters thus not making it relevant to measure them annually.</w:t>
      </w:r>
    </w:p>
  </w:footnote>
  <w:footnote w:id="67">
    <w:p w:rsidR="00100058" w:rsidRPr="00E464A0" w:rsidRDefault="00100058" w:rsidP="00EF5E0F">
      <w:pPr>
        <w:pStyle w:val="FootnoteText"/>
      </w:pPr>
      <w:r>
        <w:rPr>
          <w:rStyle w:val="FootnoteReference"/>
        </w:rPr>
        <w:footnoteRef/>
      </w:r>
      <w:r>
        <w:t xml:space="preserve"> </w:t>
      </w:r>
      <w:r w:rsidRPr="00E464A0">
        <w:t>Exception holiday season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0058" w:rsidRDefault="00100058">
    <w:pPr>
      <w:pStyle w:val="Header"/>
    </w:pPr>
    <w:r>
      <w:rPr>
        <w:caps/>
        <w:noProof/>
        <w:color w:val="808080" w:themeColor="background1" w:themeShade="80"/>
        <w:sz w:val="20"/>
        <w:szCs w:val="20"/>
        <w:lang w:eastAsia="en-GB"/>
      </w:rPr>
      <mc:AlternateContent>
        <mc:Choice Requires="wpg">
          <w:drawing>
            <wp:anchor distT="0" distB="0" distL="114300" distR="114300" simplePos="0" relativeHeight="251659264" behindDoc="0" locked="0" layoutInCell="1" allowOverlap="1" wp14:anchorId="78B0EEB1" wp14:editId="36C1E50D">
              <wp:simplePos x="0" y="0"/>
              <wp:positionH relativeFrom="page">
                <wp:align>right</wp:align>
              </wp:positionH>
              <mc:AlternateContent>
                <mc:Choice Requires="wp14">
                  <wp:positionV relativeFrom="page">
                    <wp14:pctPosVOffset>2300</wp14:pctPosVOffset>
                  </wp:positionV>
                </mc:Choice>
                <mc:Fallback>
                  <wp:positionV relativeFrom="page">
                    <wp:posOffset>245745</wp:posOffset>
                  </wp:positionV>
                </mc:Fallback>
              </mc:AlternateContent>
              <wp:extent cx="1700784" cy="1024128"/>
              <wp:effectExtent l="0" t="0" r="0" b="24130"/>
              <wp:wrapNone/>
              <wp:docPr id="167" name="Group 167"/>
              <wp:cNvGraphicFramePr/>
              <a:graphic xmlns:a="http://schemas.openxmlformats.org/drawingml/2006/main">
                <a:graphicData uri="http://schemas.microsoft.com/office/word/2010/wordprocessingGroup">
                  <wpg:wgp>
                    <wpg:cNvGrpSpPr/>
                    <wpg:grpSpPr>
                      <a:xfrm>
                        <a:off x="0" y="0"/>
                        <a:ext cx="1700784" cy="1024128"/>
                        <a:chOff x="0" y="0"/>
                        <a:chExt cx="1700784" cy="1024128"/>
                      </a:xfrm>
                    </wpg:grpSpPr>
                    <wpg:grpSp>
                      <wpg:cNvPr id="168" name="Group 168"/>
                      <wpg:cNvGrpSpPr/>
                      <wpg:grpSpPr>
                        <a:xfrm>
                          <a:off x="0" y="0"/>
                          <a:ext cx="1700784" cy="1024128"/>
                          <a:chOff x="0" y="0"/>
                          <a:chExt cx="1700784" cy="1024128"/>
                        </a:xfrm>
                      </wpg:grpSpPr>
                      <wps:wsp>
                        <wps:cNvPr id="169" name="Rectangle 169"/>
                        <wps:cNvSpPr/>
                        <wps:spPr>
                          <a:xfrm>
                            <a:off x="0" y="0"/>
                            <a:ext cx="1700784" cy="1024128"/>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Rectangle 12"/>
                        <wps:cNvSpPr/>
                        <wps:spPr>
                          <a:xfrm>
                            <a:off x="0" y="0"/>
                            <a:ext cx="1463040" cy="1014984"/>
                          </a:xfrm>
                          <a:custGeom>
                            <a:avLst/>
                            <a:gdLst>
                              <a:gd name="connsiteX0" fmla="*/ 0 w 1462822"/>
                              <a:gd name="connsiteY0" fmla="*/ 0 h 1014481"/>
                              <a:gd name="connsiteX1" fmla="*/ 1462822 w 1462822"/>
                              <a:gd name="connsiteY1" fmla="*/ 0 h 1014481"/>
                              <a:gd name="connsiteX2" fmla="*/ 1462822 w 1462822"/>
                              <a:gd name="connsiteY2" fmla="*/ 1014481 h 1014481"/>
                              <a:gd name="connsiteX3" fmla="*/ 0 w 1462822"/>
                              <a:gd name="connsiteY3" fmla="*/ 1014481 h 1014481"/>
                              <a:gd name="connsiteX4" fmla="*/ 0 w 1462822"/>
                              <a:gd name="connsiteY4" fmla="*/ 0 h 1014481"/>
                              <a:gd name="connsiteX0" fmla="*/ 0 w 1462822"/>
                              <a:gd name="connsiteY0" fmla="*/ 0 h 1014481"/>
                              <a:gd name="connsiteX1" fmla="*/ 1462822 w 1462822"/>
                              <a:gd name="connsiteY1" fmla="*/ 0 h 1014481"/>
                              <a:gd name="connsiteX2" fmla="*/ 1462822 w 1462822"/>
                              <a:gd name="connsiteY2" fmla="*/ 1014481 h 1014481"/>
                              <a:gd name="connsiteX3" fmla="*/ 638269 w 1462822"/>
                              <a:gd name="connsiteY3" fmla="*/ 407899 h 1014481"/>
                              <a:gd name="connsiteX4" fmla="*/ 0 w 1462822"/>
                              <a:gd name="connsiteY4" fmla="*/ 0 h 10144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62822" h="1014481">
                                <a:moveTo>
                                  <a:pt x="0" y="0"/>
                                </a:moveTo>
                                <a:lnTo>
                                  <a:pt x="1462822" y="0"/>
                                </a:lnTo>
                                <a:lnTo>
                                  <a:pt x="1462822" y="1014481"/>
                                </a:lnTo>
                                <a:lnTo>
                                  <a:pt x="638269" y="407899"/>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Rectangle 171"/>
                        <wps:cNvSpPr/>
                        <wps:spPr>
                          <a:xfrm>
                            <a:off x="0" y="0"/>
                            <a:ext cx="1472184" cy="1024128"/>
                          </a:xfrm>
                          <a:prstGeom prst="rect">
                            <a:avLst/>
                          </a:prstGeom>
                          <a:blipFill>
                            <a:blip r:embed="rId1"/>
                            <a:stretch>
                              <a:fillRect/>
                            </a:stretch>
                          </a:blip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2" name="Text Box 172"/>
                      <wps:cNvSpPr txBox="1"/>
                      <wps:spPr>
                        <a:xfrm>
                          <a:off x="1032625" y="9510"/>
                          <a:ext cx="438150" cy="375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00058" w:rsidRDefault="00100058">
                            <w:pPr>
                              <w:pStyle w:val="Header"/>
                              <w:rPr>
                                <w:color w:val="FFFFFF" w:themeColor="background1"/>
                                <w:sz w:val="24"/>
                                <w:szCs w:val="24"/>
                              </w:rPr>
                            </w:pPr>
                            <w:r>
                              <w:rPr>
                                <w:color w:val="FFFFFF" w:themeColor="background1"/>
                                <w:sz w:val="24"/>
                                <w:szCs w:val="24"/>
                              </w:rPr>
                              <w:fldChar w:fldCharType="begin"/>
                            </w:r>
                            <w:r>
                              <w:rPr>
                                <w:color w:val="FFFFFF" w:themeColor="background1"/>
                                <w:sz w:val="24"/>
                                <w:szCs w:val="24"/>
                              </w:rPr>
                              <w:instrText xml:space="preserve"> PAGE   \* MERGEFORMAT </w:instrText>
                            </w:r>
                            <w:r>
                              <w:rPr>
                                <w:color w:val="FFFFFF" w:themeColor="background1"/>
                                <w:sz w:val="24"/>
                                <w:szCs w:val="24"/>
                              </w:rPr>
                              <w:fldChar w:fldCharType="separate"/>
                            </w:r>
                            <w:r w:rsidR="000E6CF6">
                              <w:rPr>
                                <w:noProof/>
                                <w:color w:val="FFFFFF" w:themeColor="background1"/>
                                <w:sz w:val="24"/>
                                <w:szCs w:val="24"/>
                              </w:rPr>
                              <w:t>5</w:t>
                            </w:r>
                            <w:r>
                              <w:rPr>
                                <w:noProof/>
                                <w:color w:val="FFFFFF" w:themeColor="background1"/>
                                <w:sz w:val="24"/>
                                <w:szCs w:val="24"/>
                              </w:rPr>
                              <w:fldChar w:fldCharType="end"/>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B0EEB1" id="Group 167" o:spid="_x0000_s1036" style="position:absolute;margin-left:82.7pt;margin-top:0;width:133.9pt;height:80.65pt;z-index:251659264;mso-top-percent:23;mso-position-horizontal:right;mso-position-horizontal-relative:page;mso-position-vertical-relative:page;mso-top-percent:23;mso-width-relative:margin;mso-height-relative:margin" coordsize="17007,10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">
              <v:group id="Group 168" o:spid="_x0000_s1037" style="position:absolute;width:17007;height:10241" coordsize="17007,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rect id="Rectangle 169" o:spid="_x0000_s1038" style="position:absolute;width:17007;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" fillcolor="white [3212]" stroked="f" strokeweight="1pt">
                  <v:fill opacity="0"/>
                </v:rect>
                <v:shape id="Rectangle 12" o:spid="_x0000_s1039" style="position:absolute;width:14630;height:10149;visibility:visible;mso-wrap-style:square;v-text-anchor:middle" coordsize="1462822,1014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" path="m,l1462822,r,1014481l638269,407899,,xe" fillcolor="#5b9bd5 [3204]" stroked="f" strokeweight="1pt">
                  <v:stroke joinstyle="miter"/>
                  <v:path arrowok="t" o:connecttype="custom" o:connectlocs="0,0;1463040,0;1463040,1014984;638364,408101;0,0" o:connectangles="0,0,0,0,0"/>
                </v:shape>
                <v:rect id="Rectangle 171" o:spid="_x0000_s1040" style="position:absolute;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" strokecolor="white [3212]" strokeweight="1pt">
                  <v:fill r:id="rId2" o:title="" recolor="t" rotate="t" type="frame"/>
                </v:rect>
              </v:group>
              <v:shapetype id="_x0000_t202" coordsize="21600,21600" o:spt="202" path="m,l,21600r21600,l21600,xe">
                <v:stroke joinstyle="miter"/>
                <v:path gradientshapeok="t" o:connecttype="rect"/>
              </v:shapetype>
              <v:shape id="Text Box 172" o:spid="_x0000_s1041" type="#_x0000_t202" style="position:absolute;left:10326;top:95;width:4381;height:3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" filled="f" stroked="f" strokeweight=".5pt">
                <v:textbox inset=",7.2pt,,7.2pt">
                  <w:txbxContent>
                    <w:p w:rsidR="00100058" w:rsidRDefault="00100058">
                      <w:pPr>
                        <w:pStyle w:val="Header"/>
                        <w:rPr>
                          <w:color w:val="FFFFFF" w:themeColor="background1"/>
                          <w:sz w:val="24"/>
                          <w:szCs w:val="24"/>
                        </w:rPr>
                      </w:pPr>
                      <w:r>
                        <w:rPr>
                          <w:color w:val="FFFFFF" w:themeColor="background1"/>
                          <w:sz w:val="24"/>
                          <w:szCs w:val="24"/>
                        </w:rPr>
                        <w:fldChar w:fldCharType="begin"/>
                      </w:r>
                      <w:r>
                        <w:rPr>
                          <w:color w:val="FFFFFF" w:themeColor="background1"/>
                          <w:sz w:val="24"/>
                          <w:szCs w:val="24"/>
                        </w:rPr>
                        <w:instrText xml:space="preserve"> PAGE   \* MERGEFORMAT </w:instrText>
                      </w:r>
                      <w:r>
                        <w:rPr>
                          <w:color w:val="FFFFFF" w:themeColor="background1"/>
                          <w:sz w:val="24"/>
                          <w:szCs w:val="24"/>
                        </w:rPr>
                        <w:fldChar w:fldCharType="separate"/>
                      </w:r>
                      <w:r w:rsidR="000E6CF6">
                        <w:rPr>
                          <w:noProof/>
                          <w:color w:val="FFFFFF" w:themeColor="background1"/>
                          <w:sz w:val="24"/>
                          <w:szCs w:val="24"/>
                        </w:rPr>
                        <w:t>5</w:t>
                      </w:r>
                      <w:r>
                        <w:rPr>
                          <w:noProof/>
                          <w:color w:val="FFFFFF" w:themeColor="background1"/>
                          <w:sz w:val="24"/>
                          <w:szCs w:val="24"/>
                        </w:rPr>
                        <w:fldChar w:fldCharType="end"/>
                      </w:r>
                    </w:p>
                  </w:txbxContent>
                </v:textbox>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847E10"/>
    <w:multiLevelType w:val="multilevel"/>
    <w:tmpl w:val="6C50964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110364F1"/>
    <w:multiLevelType w:val="hybridMultilevel"/>
    <w:tmpl w:val="43D25FDA"/>
    <w:lvl w:ilvl="0" w:tplc="8B14FC86">
      <w:start w:val="1"/>
      <w:numFmt w:val="decimal"/>
      <w:lvlText w:val="%1."/>
      <w:lvlJc w:val="left"/>
      <w:pPr>
        <w:ind w:left="720" w:hanging="360"/>
      </w:pPr>
      <w:rPr>
        <w:rFonts w:hint="default"/>
        <w:lang w:val="en-US"/>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120467A6"/>
    <w:multiLevelType w:val="hybridMultilevel"/>
    <w:tmpl w:val="44D40F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02D0E2A"/>
    <w:multiLevelType w:val="hybridMultilevel"/>
    <w:tmpl w:val="358A79B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24B453F"/>
    <w:multiLevelType w:val="hybridMultilevel"/>
    <w:tmpl w:val="73807954"/>
    <w:lvl w:ilvl="0" w:tplc="04070001">
      <w:start w:val="1"/>
      <w:numFmt w:val="bullet"/>
      <w:lvlText w:val=""/>
      <w:lvlJc w:val="left"/>
      <w:pPr>
        <w:ind w:left="820" w:hanging="360"/>
      </w:pPr>
      <w:rPr>
        <w:rFonts w:ascii="Symbol" w:hAnsi="Symbol" w:hint="default"/>
      </w:rPr>
    </w:lvl>
    <w:lvl w:ilvl="1" w:tplc="04070003" w:tentative="1">
      <w:start w:val="1"/>
      <w:numFmt w:val="bullet"/>
      <w:lvlText w:val="o"/>
      <w:lvlJc w:val="left"/>
      <w:pPr>
        <w:ind w:left="1540" w:hanging="360"/>
      </w:pPr>
      <w:rPr>
        <w:rFonts w:ascii="Courier New" w:hAnsi="Courier New" w:cs="Courier New" w:hint="default"/>
      </w:rPr>
    </w:lvl>
    <w:lvl w:ilvl="2" w:tplc="04070005" w:tentative="1">
      <w:start w:val="1"/>
      <w:numFmt w:val="bullet"/>
      <w:lvlText w:val=""/>
      <w:lvlJc w:val="left"/>
      <w:pPr>
        <w:ind w:left="2260" w:hanging="360"/>
      </w:pPr>
      <w:rPr>
        <w:rFonts w:ascii="Wingdings" w:hAnsi="Wingdings" w:hint="default"/>
      </w:rPr>
    </w:lvl>
    <w:lvl w:ilvl="3" w:tplc="04070001" w:tentative="1">
      <w:start w:val="1"/>
      <w:numFmt w:val="bullet"/>
      <w:lvlText w:val=""/>
      <w:lvlJc w:val="left"/>
      <w:pPr>
        <w:ind w:left="2980" w:hanging="360"/>
      </w:pPr>
      <w:rPr>
        <w:rFonts w:ascii="Symbol" w:hAnsi="Symbol" w:hint="default"/>
      </w:rPr>
    </w:lvl>
    <w:lvl w:ilvl="4" w:tplc="04070003" w:tentative="1">
      <w:start w:val="1"/>
      <w:numFmt w:val="bullet"/>
      <w:lvlText w:val="o"/>
      <w:lvlJc w:val="left"/>
      <w:pPr>
        <w:ind w:left="3700" w:hanging="360"/>
      </w:pPr>
      <w:rPr>
        <w:rFonts w:ascii="Courier New" w:hAnsi="Courier New" w:cs="Courier New" w:hint="default"/>
      </w:rPr>
    </w:lvl>
    <w:lvl w:ilvl="5" w:tplc="04070005" w:tentative="1">
      <w:start w:val="1"/>
      <w:numFmt w:val="bullet"/>
      <w:lvlText w:val=""/>
      <w:lvlJc w:val="left"/>
      <w:pPr>
        <w:ind w:left="4420" w:hanging="360"/>
      </w:pPr>
      <w:rPr>
        <w:rFonts w:ascii="Wingdings" w:hAnsi="Wingdings" w:hint="default"/>
      </w:rPr>
    </w:lvl>
    <w:lvl w:ilvl="6" w:tplc="04070001" w:tentative="1">
      <w:start w:val="1"/>
      <w:numFmt w:val="bullet"/>
      <w:lvlText w:val=""/>
      <w:lvlJc w:val="left"/>
      <w:pPr>
        <w:ind w:left="5140" w:hanging="360"/>
      </w:pPr>
      <w:rPr>
        <w:rFonts w:ascii="Symbol" w:hAnsi="Symbol" w:hint="default"/>
      </w:rPr>
    </w:lvl>
    <w:lvl w:ilvl="7" w:tplc="04070003" w:tentative="1">
      <w:start w:val="1"/>
      <w:numFmt w:val="bullet"/>
      <w:lvlText w:val="o"/>
      <w:lvlJc w:val="left"/>
      <w:pPr>
        <w:ind w:left="5860" w:hanging="360"/>
      </w:pPr>
      <w:rPr>
        <w:rFonts w:ascii="Courier New" w:hAnsi="Courier New" w:cs="Courier New" w:hint="default"/>
      </w:rPr>
    </w:lvl>
    <w:lvl w:ilvl="8" w:tplc="04070005" w:tentative="1">
      <w:start w:val="1"/>
      <w:numFmt w:val="bullet"/>
      <w:lvlText w:val=""/>
      <w:lvlJc w:val="left"/>
      <w:pPr>
        <w:ind w:left="6580" w:hanging="360"/>
      </w:pPr>
      <w:rPr>
        <w:rFonts w:ascii="Wingdings" w:hAnsi="Wingdings" w:hint="default"/>
      </w:rPr>
    </w:lvl>
  </w:abstractNum>
  <w:abstractNum w:abstractNumId="5" w15:restartNumberingAfterBreak="0">
    <w:nsid w:val="240D41BF"/>
    <w:multiLevelType w:val="hybridMultilevel"/>
    <w:tmpl w:val="0C22BD1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64E2E12"/>
    <w:multiLevelType w:val="hybridMultilevel"/>
    <w:tmpl w:val="413886F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29C81540"/>
    <w:multiLevelType w:val="hybridMultilevel"/>
    <w:tmpl w:val="89085AA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B2B5229"/>
    <w:multiLevelType w:val="hybridMultilevel"/>
    <w:tmpl w:val="54247A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D072B23"/>
    <w:multiLevelType w:val="hybridMultilevel"/>
    <w:tmpl w:val="3A8455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DDD33C1"/>
    <w:multiLevelType w:val="hybridMultilevel"/>
    <w:tmpl w:val="737E22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F0048F6"/>
    <w:multiLevelType w:val="hybridMultilevel"/>
    <w:tmpl w:val="1A3A943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37696C8D"/>
    <w:multiLevelType w:val="hybridMultilevel"/>
    <w:tmpl w:val="5F64F5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9D85943"/>
    <w:multiLevelType w:val="hybridMultilevel"/>
    <w:tmpl w:val="645A713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48AC33D4"/>
    <w:multiLevelType w:val="hybridMultilevel"/>
    <w:tmpl w:val="3E0E0198"/>
    <w:lvl w:ilvl="0" w:tplc="0407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B3905C4"/>
    <w:multiLevelType w:val="hybridMultilevel"/>
    <w:tmpl w:val="43D25FDA"/>
    <w:lvl w:ilvl="0" w:tplc="8B14FC86">
      <w:start w:val="1"/>
      <w:numFmt w:val="decimal"/>
      <w:lvlText w:val="%1."/>
      <w:lvlJc w:val="left"/>
      <w:pPr>
        <w:ind w:left="720" w:hanging="360"/>
      </w:pPr>
      <w:rPr>
        <w:rFonts w:hint="default"/>
        <w:lang w:val="en-US"/>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4C663289"/>
    <w:multiLevelType w:val="hybridMultilevel"/>
    <w:tmpl w:val="C48808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F3C6A57"/>
    <w:multiLevelType w:val="hybridMultilevel"/>
    <w:tmpl w:val="C062EB1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55060242"/>
    <w:multiLevelType w:val="hybridMultilevel"/>
    <w:tmpl w:val="867256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6EF6566"/>
    <w:multiLevelType w:val="hybridMultilevel"/>
    <w:tmpl w:val="1A3A943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15:restartNumberingAfterBreak="0">
    <w:nsid w:val="56FE10A2"/>
    <w:multiLevelType w:val="hybridMultilevel"/>
    <w:tmpl w:val="94EA83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591F3F57"/>
    <w:multiLevelType w:val="hybridMultilevel"/>
    <w:tmpl w:val="6646EB9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5AA23797"/>
    <w:multiLevelType w:val="hybridMultilevel"/>
    <w:tmpl w:val="C9D467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B495728"/>
    <w:multiLevelType w:val="hybridMultilevel"/>
    <w:tmpl w:val="A3E2C64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5F575B81"/>
    <w:multiLevelType w:val="hybridMultilevel"/>
    <w:tmpl w:val="4ECEC3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5DE54AE"/>
    <w:multiLevelType w:val="hybridMultilevel"/>
    <w:tmpl w:val="992004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75621ED"/>
    <w:multiLevelType w:val="hybridMultilevel"/>
    <w:tmpl w:val="621417B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67A625F9"/>
    <w:multiLevelType w:val="hybridMultilevel"/>
    <w:tmpl w:val="C8EED60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68747900"/>
    <w:multiLevelType w:val="multilevel"/>
    <w:tmpl w:val="6C50964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6BF67AC9"/>
    <w:multiLevelType w:val="hybridMultilevel"/>
    <w:tmpl w:val="79A428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E417393"/>
    <w:multiLevelType w:val="hybridMultilevel"/>
    <w:tmpl w:val="2D6630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3A43A0F"/>
    <w:multiLevelType w:val="hybridMultilevel"/>
    <w:tmpl w:val="06E4CF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75720C0"/>
    <w:multiLevelType w:val="hybridMultilevel"/>
    <w:tmpl w:val="3588EF6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15:restartNumberingAfterBreak="0">
    <w:nsid w:val="77A54BC0"/>
    <w:multiLevelType w:val="hybridMultilevel"/>
    <w:tmpl w:val="8CE227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BC049B8"/>
    <w:multiLevelType w:val="hybridMultilevel"/>
    <w:tmpl w:val="996A16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8"/>
  </w:num>
  <w:num w:numId="3">
    <w:abstractNumId w:val="2"/>
  </w:num>
  <w:num w:numId="4">
    <w:abstractNumId w:val="33"/>
  </w:num>
  <w:num w:numId="5">
    <w:abstractNumId w:val="30"/>
  </w:num>
  <w:num w:numId="6">
    <w:abstractNumId w:val="29"/>
  </w:num>
  <w:num w:numId="7">
    <w:abstractNumId w:val="25"/>
  </w:num>
  <w:num w:numId="8">
    <w:abstractNumId w:val="34"/>
  </w:num>
  <w:num w:numId="9">
    <w:abstractNumId w:val="22"/>
  </w:num>
  <w:num w:numId="10">
    <w:abstractNumId w:val="9"/>
  </w:num>
  <w:num w:numId="11">
    <w:abstractNumId w:val="31"/>
  </w:num>
  <w:num w:numId="12">
    <w:abstractNumId w:val="13"/>
  </w:num>
  <w:num w:numId="13">
    <w:abstractNumId w:val="14"/>
  </w:num>
  <w:num w:numId="14">
    <w:abstractNumId w:val="4"/>
  </w:num>
  <w:num w:numId="15">
    <w:abstractNumId w:val="12"/>
  </w:num>
  <w:num w:numId="16">
    <w:abstractNumId w:val="23"/>
  </w:num>
  <w:num w:numId="17">
    <w:abstractNumId w:val="5"/>
  </w:num>
  <w:num w:numId="18">
    <w:abstractNumId w:val="20"/>
  </w:num>
  <w:num w:numId="19">
    <w:abstractNumId w:val="24"/>
  </w:num>
  <w:num w:numId="20">
    <w:abstractNumId w:val="18"/>
  </w:num>
  <w:num w:numId="21">
    <w:abstractNumId w:val="32"/>
  </w:num>
  <w:num w:numId="22">
    <w:abstractNumId w:val="21"/>
  </w:num>
  <w:num w:numId="23">
    <w:abstractNumId w:val="17"/>
  </w:num>
  <w:num w:numId="24">
    <w:abstractNumId w:val="3"/>
  </w:num>
  <w:num w:numId="25">
    <w:abstractNumId w:val="26"/>
  </w:num>
  <w:num w:numId="26">
    <w:abstractNumId w:val="10"/>
  </w:num>
  <w:num w:numId="27">
    <w:abstractNumId w:val="27"/>
  </w:num>
  <w:num w:numId="28">
    <w:abstractNumId w:val="7"/>
  </w:num>
  <w:num w:numId="29">
    <w:abstractNumId w:val="28"/>
  </w:num>
  <w:num w:numId="30">
    <w:abstractNumId w:val="16"/>
  </w:num>
  <w:num w:numId="31">
    <w:abstractNumId w:val="6"/>
  </w:num>
  <w:num w:numId="32">
    <w:abstractNumId w:val="11"/>
  </w:num>
  <w:num w:numId="33">
    <w:abstractNumId w:val="15"/>
  </w:num>
  <w:num w:numId="34">
    <w:abstractNumId w:val="19"/>
  </w:num>
  <w:num w:numId="3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23C4"/>
    <w:rsid w:val="00006EA4"/>
    <w:rsid w:val="000115A2"/>
    <w:rsid w:val="000157ED"/>
    <w:rsid w:val="00017317"/>
    <w:rsid w:val="00027A8A"/>
    <w:rsid w:val="00052039"/>
    <w:rsid w:val="000554BB"/>
    <w:rsid w:val="000907EC"/>
    <w:rsid w:val="0009572A"/>
    <w:rsid w:val="00096CC4"/>
    <w:rsid w:val="000A18BB"/>
    <w:rsid w:val="000A2B2A"/>
    <w:rsid w:val="000A4FB5"/>
    <w:rsid w:val="000A59F3"/>
    <w:rsid w:val="000C49F8"/>
    <w:rsid w:val="000E6CF6"/>
    <w:rsid w:val="00100058"/>
    <w:rsid w:val="00106F09"/>
    <w:rsid w:val="00134B65"/>
    <w:rsid w:val="00142ABE"/>
    <w:rsid w:val="00144684"/>
    <w:rsid w:val="00163C4B"/>
    <w:rsid w:val="00187E68"/>
    <w:rsid w:val="00194543"/>
    <w:rsid w:val="001A7E26"/>
    <w:rsid w:val="001F0760"/>
    <w:rsid w:val="00211EB9"/>
    <w:rsid w:val="00215B87"/>
    <w:rsid w:val="0022668F"/>
    <w:rsid w:val="00256D11"/>
    <w:rsid w:val="002942C0"/>
    <w:rsid w:val="00294A18"/>
    <w:rsid w:val="002A0B83"/>
    <w:rsid w:val="002A7ABF"/>
    <w:rsid w:val="002E0E1B"/>
    <w:rsid w:val="00301333"/>
    <w:rsid w:val="003444B1"/>
    <w:rsid w:val="003620FC"/>
    <w:rsid w:val="00391B6D"/>
    <w:rsid w:val="00395110"/>
    <w:rsid w:val="003B180C"/>
    <w:rsid w:val="003B301C"/>
    <w:rsid w:val="003B39F1"/>
    <w:rsid w:val="004003AD"/>
    <w:rsid w:val="00402CF5"/>
    <w:rsid w:val="00413D14"/>
    <w:rsid w:val="00424C1D"/>
    <w:rsid w:val="004317A6"/>
    <w:rsid w:val="004444B7"/>
    <w:rsid w:val="00451E42"/>
    <w:rsid w:val="0045202B"/>
    <w:rsid w:val="004552A8"/>
    <w:rsid w:val="004867E0"/>
    <w:rsid w:val="004A02F2"/>
    <w:rsid w:val="004B3B5F"/>
    <w:rsid w:val="004D3AFE"/>
    <w:rsid w:val="004D7CE4"/>
    <w:rsid w:val="00583759"/>
    <w:rsid w:val="005A185D"/>
    <w:rsid w:val="005B59CE"/>
    <w:rsid w:val="005E74A2"/>
    <w:rsid w:val="005F4241"/>
    <w:rsid w:val="005F54C1"/>
    <w:rsid w:val="006031A2"/>
    <w:rsid w:val="00603403"/>
    <w:rsid w:val="00634F25"/>
    <w:rsid w:val="00640892"/>
    <w:rsid w:val="00647D3D"/>
    <w:rsid w:val="0069542F"/>
    <w:rsid w:val="006B1282"/>
    <w:rsid w:val="006D172A"/>
    <w:rsid w:val="00704742"/>
    <w:rsid w:val="00713352"/>
    <w:rsid w:val="007213E7"/>
    <w:rsid w:val="00740314"/>
    <w:rsid w:val="00764619"/>
    <w:rsid w:val="00765C2F"/>
    <w:rsid w:val="007723BA"/>
    <w:rsid w:val="0079029B"/>
    <w:rsid w:val="00796377"/>
    <w:rsid w:val="007A592A"/>
    <w:rsid w:val="007B07BC"/>
    <w:rsid w:val="007C5AB2"/>
    <w:rsid w:val="007D7798"/>
    <w:rsid w:val="007E2FCA"/>
    <w:rsid w:val="007F0E9B"/>
    <w:rsid w:val="007F4A09"/>
    <w:rsid w:val="008001B0"/>
    <w:rsid w:val="008003B7"/>
    <w:rsid w:val="00802A00"/>
    <w:rsid w:val="00813BB5"/>
    <w:rsid w:val="00850B34"/>
    <w:rsid w:val="00864A64"/>
    <w:rsid w:val="00867C37"/>
    <w:rsid w:val="0087460A"/>
    <w:rsid w:val="0087587B"/>
    <w:rsid w:val="00883B9F"/>
    <w:rsid w:val="008C7322"/>
    <w:rsid w:val="00932907"/>
    <w:rsid w:val="00977641"/>
    <w:rsid w:val="00990CF2"/>
    <w:rsid w:val="0099287A"/>
    <w:rsid w:val="00995402"/>
    <w:rsid w:val="009C168A"/>
    <w:rsid w:val="009C1D87"/>
    <w:rsid w:val="009C7DC9"/>
    <w:rsid w:val="009E4FD7"/>
    <w:rsid w:val="00A1408D"/>
    <w:rsid w:val="00A1485A"/>
    <w:rsid w:val="00A15DAB"/>
    <w:rsid w:val="00A43486"/>
    <w:rsid w:val="00A434D0"/>
    <w:rsid w:val="00A55028"/>
    <w:rsid w:val="00A76204"/>
    <w:rsid w:val="00AC6EDE"/>
    <w:rsid w:val="00AE23C4"/>
    <w:rsid w:val="00AE6E5F"/>
    <w:rsid w:val="00AF1713"/>
    <w:rsid w:val="00B275C6"/>
    <w:rsid w:val="00B33658"/>
    <w:rsid w:val="00B35D02"/>
    <w:rsid w:val="00B37D5D"/>
    <w:rsid w:val="00B43ADE"/>
    <w:rsid w:val="00B44DD3"/>
    <w:rsid w:val="00B54DE4"/>
    <w:rsid w:val="00B63622"/>
    <w:rsid w:val="00B900D5"/>
    <w:rsid w:val="00B94C94"/>
    <w:rsid w:val="00BE3F41"/>
    <w:rsid w:val="00BE6A26"/>
    <w:rsid w:val="00C14C7F"/>
    <w:rsid w:val="00C356C8"/>
    <w:rsid w:val="00C57D42"/>
    <w:rsid w:val="00C65AD2"/>
    <w:rsid w:val="00C707AE"/>
    <w:rsid w:val="00C838B1"/>
    <w:rsid w:val="00CC0CF1"/>
    <w:rsid w:val="00CC7E54"/>
    <w:rsid w:val="00CE44F4"/>
    <w:rsid w:val="00CE7E71"/>
    <w:rsid w:val="00D00F6C"/>
    <w:rsid w:val="00D0623E"/>
    <w:rsid w:val="00D11278"/>
    <w:rsid w:val="00D17ED0"/>
    <w:rsid w:val="00D217FC"/>
    <w:rsid w:val="00D24E15"/>
    <w:rsid w:val="00D27EAD"/>
    <w:rsid w:val="00D428D0"/>
    <w:rsid w:val="00D57584"/>
    <w:rsid w:val="00D80C6B"/>
    <w:rsid w:val="00D95017"/>
    <w:rsid w:val="00D9541B"/>
    <w:rsid w:val="00DC3EBC"/>
    <w:rsid w:val="00DD03BC"/>
    <w:rsid w:val="00DD5471"/>
    <w:rsid w:val="00DD60F5"/>
    <w:rsid w:val="00E33D7D"/>
    <w:rsid w:val="00E40564"/>
    <w:rsid w:val="00E472F2"/>
    <w:rsid w:val="00E542FD"/>
    <w:rsid w:val="00E6120B"/>
    <w:rsid w:val="00E62DDE"/>
    <w:rsid w:val="00E71440"/>
    <w:rsid w:val="00E83DA6"/>
    <w:rsid w:val="00E929B0"/>
    <w:rsid w:val="00E9371B"/>
    <w:rsid w:val="00EA7BB9"/>
    <w:rsid w:val="00EB0AB3"/>
    <w:rsid w:val="00EB6E37"/>
    <w:rsid w:val="00EC2775"/>
    <w:rsid w:val="00ED622F"/>
    <w:rsid w:val="00EF5E0F"/>
    <w:rsid w:val="00EF68A8"/>
    <w:rsid w:val="00EF75F1"/>
    <w:rsid w:val="00F44481"/>
    <w:rsid w:val="00F51635"/>
    <w:rsid w:val="00F544A8"/>
    <w:rsid w:val="00F714A3"/>
    <w:rsid w:val="00FA0952"/>
    <w:rsid w:val="00FC17CE"/>
    <w:rsid w:val="00FC3E50"/>
    <w:rsid w:val="00FF7F5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4703BD"/>
  <w15:chartTrackingRefBased/>
  <w15:docId w15:val="{BDAB42E1-AAEF-4E27-9739-B81EA7EC82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paragraph" w:styleId="Heading1">
    <w:name w:val="heading 1"/>
    <w:basedOn w:val="Normal"/>
    <w:next w:val="Normal"/>
    <w:link w:val="Heading1Char"/>
    <w:qFormat/>
    <w:rsid w:val="00AE23C4"/>
    <w:pPr>
      <w:keepNext/>
      <w:keepLines/>
      <w:spacing w:before="480" w:after="0" w:line="276" w:lineRule="auto"/>
      <w:outlineLvl w:val="0"/>
    </w:pPr>
    <w:rPr>
      <w:rFonts w:ascii="Cambria" w:eastAsia="Times New Roman" w:hAnsi="Cambria" w:cs="Times New Roman"/>
      <w:b/>
      <w:bCs/>
      <w:color w:val="365F91"/>
      <w:sz w:val="28"/>
      <w:szCs w:val="28"/>
    </w:rPr>
  </w:style>
  <w:style w:type="paragraph" w:styleId="Heading2">
    <w:name w:val="heading 2"/>
    <w:basedOn w:val="Normal"/>
    <w:next w:val="Normal"/>
    <w:link w:val="Heading2Char"/>
    <w:uiPriority w:val="9"/>
    <w:unhideWhenUsed/>
    <w:qFormat/>
    <w:rsid w:val="00813BB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256D1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E83DA6"/>
    <w:pPr>
      <w:keepNext/>
      <w:keepLines/>
      <w:spacing w:before="40" w:after="0" w:line="276" w:lineRule="auto"/>
      <w:outlineLvl w:val="3"/>
    </w:pPr>
    <w:rPr>
      <w:rFonts w:asciiTheme="majorHAnsi" w:eastAsiaTheme="majorEastAsia" w:hAnsiTheme="majorHAnsi" w:cstheme="majorBidi"/>
      <w:i/>
      <w:iCs/>
      <w:color w:val="2E74B5" w:themeColor="accent1" w:themeShade="BF"/>
    </w:rPr>
  </w:style>
  <w:style w:type="paragraph" w:styleId="Heading6">
    <w:name w:val="heading 6"/>
    <w:basedOn w:val="Normal"/>
    <w:next w:val="Normal"/>
    <w:link w:val="Heading6Char"/>
    <w:uiPriority w:val="9"/>
    <w:unhideWhenUsed/>
    <w:qFormat/>
    <w:rsid w:val="00E83DA6"/>
    <w:pPr>
      <w:keepNext/>
      <w:keepLines/>
      <w:spacing w:before="40" w:after="0" w:line="276" w:lineRule="auto"/>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AE23C4"/>
    <w:rPr>
      <w:color w:val="0000FF"/>
      <w:u w:val="single"/>
    </w:rPr>
  </w:style>
  <w:style w:type="character" w:customStyle="1" w:styleId="Heading1Char">
    <w:name w:val="Heading 1 Char"/>
    <w:basedOn w:val="DefaultParagraphFont"/>
    <w:link w:val="Heading1"/>
    <w:uiPriority w:val="9"/>
    <w:rsid w:val="00AE23C4"/>
    <w:rPr>
      <w:rFonts w:ascii="Cambria" w:eastAsia="Times New Roman" w:hAnsi="Cambria" w:cs="Times New Roman"/>
      <w:b/>
      <w:bCs/>
      <w:color w:val="365F91"/>
      <w:sz w:val="28"/>
      <w:szCs w:val="28"/>
    </w:rPr>
  </w:style>
  <w:style w:type="paragraph" w:styleId="NoSpacing">
    <w:name w:val="No Spacing"/>
    <w:link w:val="NoSpacingChar"/>
    <w:uiPriority w:val="1"/>
    <w:qFormat/>
    <w:rsid w:val="00AE23C4"/>
    <w:pPr>
      <w:spacing w:after="0" w:line="240" w:lineRule="auto"/>
    </w:pPr>
    <w:rPr>
      <w:rFonts w:ascii="Calibri" w:eastAsia="Calibri" w:hAnsi="Calibri" w:cs="Times New Roman"/>
    </w:rPr>
  </w:style>
  <w:style w:type="character" w:customStyle="1" w:styleId="NoSpacingChar">
    <w:name w:val="No Spacing Char"/>
    <w:link w:val="NoSpacing"/>
    <w:uiPriority w:val="1"/>
    <w:locked/>
    <w:rsid w:val="00AE23C4"/>
    <w:rPr>
      <w:rFonts w:ascii="Calibri" w:eastAsia="Calibri" w:hAnsi="Calibri" w:cs="Times New Roman"/>
    </w:rPr>
  </w:style>
  <w:style w:type="paragraph" w:styleId="FootnoteText">
    <w:name w:val="footnote text"/>
    <w:aliases w:val="Fußnotentext Char,DNV-FT,single space,Footnote Text Char Char,Footnote Text Char1 Char Char,Footnote Text Char Char Char Char,Char Char Char Char Char,Char Char Char,Geneva 9,ft,-E Fußnotentext,Fußnotentext Ursprung,Char,FOOTNOTES,fn,f,AD"/>
    <w:basedOn w:val="Normal"/>
    <w:link w:val="FootnoteTextChar"/>
    <w:uiPriority w:val="99"/>
    <w:unhideWhenUsed/>
    <w:qFormat/>
    <w:rsid w:val="00813BB5"/>
    <w:pPr>
      <w:spacing w:after="0" w:line="240" w:lineRule="auto"/>
    </w:pPr>
    <w:rPr>
      <w:rFonts w:ascii="Calibri" w:eastAsia="Calibri" w:hAnsi="Calibri" w:cs="Times New Roman"/>
      <w:sz w:val="20"/>
      <w:szCs w:val="20"/>
      <w:lang w:val="de-CH"/>
    </w:rPr>
  </w:style>
  <w:style w:type="character" w:customStyle="1" w:styleId="FootnoteTextChar">
    <w:name w:val="Footnote Text Char"/>
    <w:aliases w:val="Fußnotentext Char Char,DNV-FT Char,single space Char,Footnote Text Char Char Char,Footnote Text Char1 Char Char Char,Footnote Text Char Char Char Char Char,Char Char Char Char Char Char,Char Char Char Char,Geneva 9 Char,ft Char,f Char"/>
    <w:basedOn w:val="DefaultParagraphFont"/>
    <w:link w:val="FootnoteText"/>
    <w:uiPriority w:val="99"/>
    <w:rsid w:val="00813BB5"/>
    <w:rPr>
      <w:rFonts w:ascii="Calibri" w:eastAsia="Calibri" w:hAnsi="Calibri" w:cs="Times New Roman"/>
      <w:sz w:val="20"/>
      <w:szCs w:val="20"/>
      <w:lang w:val="de-CH"/>
    </w:rPr>
  </w:style>
  <w:style w:type="character" w:styleId="FootnoteReference">
    <w:name w:val="footnote reference"/>
    <w:aliases w:val="ftref,16 Point,Superscript 6 Point,Footnote Reference1,E FNZ,-E Fußnotenzeichen,Footnote#,de nota al pie,BVI fnr,Char Char Char Char Car Char,Footnote reference,Footnote,Normal + Font:9 Point,Superscript 3 Point Times"/>
    <w:uiPriority w:val="99"/>
    <w:unhideWhenUsed/>
    <w:qFormat/>
    <w:rsid w:val="00813BB5"/>
    <w:rPr>
      <w:vertAlign w:val="superscript"/>
    </w:rPr>
  </w:style>
  <w:style w:type="paragraph" w:styleId="Caption">
    <w:name w:val="caption"/>
    <w:basedOn w:val="Normal"/>
    <w:next w:val="Normal"/>
    <w:uiPriority w:val="35"/>
    <w:unhideWhenUsed/>
    <w:qFormat/>
    <w:rsid w:val="00813BB5"/>
    <w:pPr>
      <w:spacing w:after="200" w:line="240" w:lineRule="auto"/>
    </w:pPr>
    <w:rPr>
      <w:i/>
      <w:iCs/>
      <w:color w:val="44546A" w:themeColor="text2"/>
      <w:sz w:val="18"/>
      <w:szCs w:val="18"/>
    </w:rPr>
  </w:style>
  <w:style w:type="paragraph" w:customStyle="1" w:styleId="Default">
    <w:name w:val="Default"/>
    <w:rsid w:val="00813BB5"/>
    <w:pPr>
      <w:autoSpaceDE w:val="0"/>
      <w:autoSpaceDN w:val="0"/>
      <w:adjustRightInd w:val="0"/>
      <w:spacing w:after="0" w:line="240" w:lineRule="auto"/>
    </w:pPr>
    <w:rPr>
      <w:rFonts w:ascii="Arial" w:eastAsia="Calibri" w:hAnsi="Arial" w:cs="Arial"/>
      <w:color w:val="000000"/>
      <w:sz w:val="24"/>
      <w:szCs w:val="24"/>
      <w:lang w:val="de-DE"/>
    </w:rPr>
  </w:style>
  <w:style w:type="character" w:customStyle="1" w:styleId="Heading2Char">
    <w:name w:val="Heading 2 Char"/>
    <w:basedOn w:val="DefaultParagraphFont"/>
    <w:link w:val="Heading2"/>
    <w:uiPriority w:val="9"/>
    <w:rsid w:val="00813BB5"/>
    <w:rPr>
      <w:rFonts w:asciiTheme="majorHAnsi" w:eastAsiaTheme="majorEastAsia" w:hAnsiTheme="majorHAnsi" w:cstheme="majorBidi"/>
      <w:color w:val="2E74B5" w:themeColor="accent1" w:themeShade="BF"/>
      <w:sz w:val="26"/>
      <w:szCs w:val="26"/>
    </w:rPr>
  </w:style>
  <w:style w:type="paragraph" w:styleId="ListParagraph">
    <w:name w:val="List Paragraph"/>
    <w:aliases w:val="Paragraph,List Paragraph (numbered (a)),List Paragraph1,List Paragraph Char Char Char,Use Case List Paragraph,List Paragraph2,Numbered List Paragraph,Main numbered paragraph,Bullet paras,ANNEX,List Paragraph11"/>
    <w:basedOn w:val="Normal"/>
    <w:link w:val="ListParagraphChar"/>
    <w:uiPriority w:val="34"/>
    <w:qFormat/>
    <w:rsid w:val="00813BB5"/>
    <w:pPr>
      <w:spacing w:after="200" w:line="276" w:lineRule="auto"/>
      <w:ind w:left="720"/>
      <w:contextualSpacing/>
    </w:pPr>
    <w:rPr>
      <w:rFonts w:ascii="Calibri" w:eastAsia="Calibri" w:hAnsi="Calibri" w:cs="Times New Roman"/>
      <w:lang w:val="de-CH"/>
    </w:rPr>
  </w:style>
  <w:style w:type="character" w:customStyle="1" w:styleId="ListParagraphChar">
    <w:name w:val="List Paragraph Char"/>
    <w:aliases w:val="Paragraph Char,List Paragraph (numbered (a)) Char,List Paragraph1 Char,List Paragraph Char Char Char Char,Use Case List Paragraph Char,List Paragraph2 Char,Numbered List Paragraph Char,Main numbered paragraph Char,Bullet paras Char"/>
    <w:link w:val="ListParagraph"/>
    <w:uiPriority w:val="34"/>
    <w:locked/>
    <w:rsid w:val="00813BB5"/>
    <w:rPr>
      <w:rFonts w:ascii="Calibri" w:eastAsia="Calibri" w:hAnsi="Calibri" w:cs="Times New Roman"/>
      <w:lang w:val="de-CH"/>
    </w:rPr>
  </w:style>
  <w:style w:type="table" w:styleId="TableGrid">
    <w:name w:val="Table Grid"/>
    <w:basedOn w:val="TableNormal"/>
    <w:uiPriority w:val="59"/>
    <w:rsid w:val="007F4A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256D11"/>
    <w:rPr>
      <w:rFonts w:asciiTheme="majorHAnsi" w:eastAsiaTheme="majorEastAsia" w:hAnsiTheme="majorHAnsi" w:cstheme="majorBidi"/>
      <w:color w:val="1F4D78" w:themeColor="accent1" w:themeShade="7F"/>
      <w:sz w:val="24"/>
      <w:szCs w:val="24"/>
    </w:rPr>
  </w:style>
  <w:style w:type="paragraph" w:styleId="Header">
    <w:name w:val="header"/>
    <w:basedOn w:val="Normal"/>
    <w:link w:val="HeaderChar"/>
    <w:uiPriority w:val="99"/>
    <w:unhideWhenUsed/>
    <w:rsid w:val="00BE6A26"/>
    <w:pPr>
      <w:tabs>
        <w:tab w:val="center" w:pos="4513"/>
        <w:tab w:val="right" w:pos="9026"/>
      </w:tabs>
      <w:spacing w:after="0" w:line="240" w:lineRule="auto"/>
    </w:pPr>
  </w:style>
  <w:style w:type="character" w:customStyle="1" w:styleId="HeaderChar">
    <w:name w:val="Header Char"/>
    <w:basedOn w:val="DefaultParagraphFont"/>
    <w:link w:val="Header"/>
    <w:uiPriority w:val="99"/>
    <w:rsid w:val="00BE6A26"/>
  </w:style>
  <w:style w:type="paragraph" w:styleId="Footer">
    <w:name w:val="footer"/>
    <w:basedOn w:val="Normal"/>
    <w:link w:val="FooterChar"/>
    <w:uiPriority w:val="99"/>
    <w:unhideWhenUsed/>
    <w:rsid w:val="00BE6A26"/>
    <w:pPr>
      <w:tabs>
        <w:tab w:val="center" w:pos="4513"/>
        <w:tab w:val="right" w:pos="9026"/>
      </w:tabs>
      <w:spacing w:after="0" w:line="240" w:lineRule="auto"/>
    </w:pPr>
  </w:style>
  <w:style w:type="character" w:customStyle="1" w:styleId="FooterChar">
    <w:name w:val="Footer Char"/>
    <w:basedOn w:val="DefaultParagraphFont"/>
    <w:link w:val="Footer"/>
    <w:uiPriority w:val="99"/>
    <w:rsid w:val="00BE6A26"/>
  </w:style>
  <w:style w:type="paragraph" w:styleId="TOCHeading">
    <w:name w:val="TOC Heading"/>
    <w:basedOn w:val="Heading1"/>
    <w:next w:val="Normal"/>
    <w:uiPriority w:val="39"/>
    <w:unhideWhenUsed/>
    <w:qFormat/>
    <w:rsid w:val="00FA0952"/>
    <w:pPr>
      <w:spacing w:before="240" w:line="259" w:lineRule="auto"/>
      <w:outlineLvl w:val="9"/>
    </w:pPr>
    <w:rPr>
      <w:rFonts w:asciiTheme="majorHAnsi" w:eastAsiaTheme="majorEastAsia" w:hAnsiTheme="majorHAnsi" w:cstheme="majorBidi"/>
      <w:b w:val="0"/>
      <w:bCs w:val="0"/>
      <w:color w:val="2E74B5" w:themeColor="accent1" w:themeShade="BF"/>
      <w:sz w:val="32"/>
      <w:szCs w:val="32"/>
      <w:lang w:val="en-US"/>
    </w:rPr>
  </w:style>
  <w:style w:type="paragraph" w:styleId="TOC1">
    <w:name w:val="toc 1"/>
    <w:basedOn w:val="Normal"/>
    <w:next w:val="Normal"/>
    <w:autoRedefine/>
    <w:uiPriority w:val="39"/>
    <w:unhideWhenUsed/>
    <w:rsid w:val="00FA0952"/>
    <w:pPr>
      <w:spacing w:after="100"/>
    </w:pPr>
  </w:style>
  <w:style w:type="paragraph" w:styleId="TOC2">
    <w:name w:val="toc 2"/>
    <w:basedOn w:val="Normal"/>
    <w:next w:val="Normal"/>
    <w:autoRedefine/>
    <w:uiPriority w:val="39"/>
    <w:unhideWhenUsed/>
    <w:rsid w:val="00FA0952"/>
    <w:pPr>
      <w:spacing w:after="100"/>
      <w:ind w:left="220"/>
    </w:pPr>
  </w:style>
  <w:style w:type="paragraph" w:styleId="TOC3">
    <w:name w:val="toc 3"/>
    <w:basedOn w:val="Normal"/>
    <w:next w:val="Normal"/>
    <w:autoRedefine/>
    <w:uiPriority w:val="39"/>
    <w:unhideWhenUsed/>
    <w:rsid w:val="00FA0952"/>
    <w:pPr>
      <w:spacing w:after="100"/>
      <w:ind w:left="440"/>
    </w:pPr>
  </w:style>
  <w:style w:type="character" w:customStyle="1" w:styleId="Heading4Char">
    <w:name w:val="Heading 4 Char"/>
    <w:basedOn w:val="DefaultParagraphFont"/>
    <w:link w:val="Heading4"/>
    <w:uiPriority w:val="9"/>
    <w:rsid w:val="00E83DA6"/>
    <w:rPr>
      <w:rFonts w:asciiTheme="majorHAnsi" w:eastAsiaTheme="majorEastAsia" w:hAnsiTheme="majorHAnsi" w:cstheme="majorBidi"/>
      <w:i/>
      <w:iCs/>
      <w:color w:val="2E74B5" w:themeColor="accent1" w:themeShade="BF"/>
    </w:rPr>
  </w:style>
  <w:style w:type="character" w:customStyle="1" w:styleId="Heading6Char">
    <w:name w:val="Heading 6 Char"/>
    <w:basedOn w:val="DefaultParagraphFont"/>
    <w:link w:val="Heading6"/>
    <w:uiPriority w:val="9"/>
    <w:rsid w:val="00E83DA6"/>
    <w:rPr>
      <w:rFonts w:asciiTheme="majorHAnsi" w:eastAsiaTheme="majorEastAsia" w:hAnsiTheme="majorHAnsi" w:cstheme="majorBidi"/>
      <w:color w:val="1F4D78"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5748189">
      <w:bodyDiv w:val="1"/>
      <w:marLeft w:val="0"/>
      <w:marRight w:val="0"/>
      <w:marTop w:val="0"/>
      <w:marBottom w:val="0"/>
      <w:divBdr>
        <w:top w:val="none" w:sz="0" w:space="0" w:color="auto"/>
        <w:left w:val="none" w:sz="0" w:space="0" w:color="auto"/>
        <w:bottom w:val="none" w:sz="0" w:space="0" w:color="auto"/>
        <w:right w:val="none" w:sz="0" w:space="0" w:color="auto"/>
      </w:divBdr>
    </w:div>
    <w:div w:id="339049323">
      <w:bodyDiv w:val="1"/>
      <w:marLeft w:val="0"/>
      <w:marRight w:val="0"/>
      <w:marTop w:val="0"/>
      <w:marBottom w:val="0"/>
      <w:divBdr>
        <w:top w:val="none" w:sz="0" w:space="0" w:color="auto"/>
        <w:left w:val="none" w:sz="0" w:space="0" w:color="auto"/>
        <w:bottom w:val="none" w:sz="0" w:space="0" w:color="auto"/>
        <w:right w:val="none" w:sz="0" w:space="0" w:color="auto"/>
      </w:divBdr>
    </w:div>
    <w:div w:id="538205391">
      <w:bodyDiv w:val="1"/>
      <w:marLeft w:val="0"/>
      <w:marRight w:val="0"/>
      <w:marTop w:val="0"/>
      <w:marBottom w:val="0"/>
      <w:divBdr>
        <w:top w:val="none" w:sz="0" w:space="0" w:color="auto"/>
        <w:left w:val="none" w:sz="0" w:space="0" w:color="auto"/>
        <w:bottom w:val="none" w:sz="0" w:space="0" w:color="auto"/>
        <w:right w:val="none" w:sz="0" w:space="0" w:color="auto"/>
      </w:divBdr>
    </w:div>
    <w:div w:id="599414421">
      <w:bodyDiv w:val="1"/>
      <w:marLeft w:val="0"/>
      <w:marRight w:val="0"/>
      <w:marTop w:val="0"/>
      <w:marBottom w:val="0"/>
      <w:divBdr>
        <w:top w:val="none" w:sz="0" w:space="0" w:color="auto"/>
        <w:left w:val="none" w:sz="0" w:space="0" w:color="auto"/>
        <w:bottom w:val="none" w:sz="0" w:space="0" w:color="auto"/>
        <w:right w:val="none" w:sz="0" w:space="0" w:color="auto"/>
      </w:divBdr>
    </w:div>
    <w:div w:id="869104963">
      <w:bodyDiv w:val="1"/>
      <w:marLeft w:val="0"/>
      <w:marRight w:val="0"/>
      <w:marTop w:val="0"/>
      <w:marBottom w:val="0"/>
      <w:divBdr>
        <w:top w:val="none" w:sz="0" w:space="0" w:color="auto"/>
        <w:left w:val="none" w:sz="0" w:space="0" w:color="auto"/>
        <w:bottom w:val="none" w:sz="0" w:space="0" w:color="auto"/>
        <w:right w:val="none" w:sz="0" w:space="0" w:color="auto"/>
      </w:divBdr>
    </w:div>
    <w:div w:id="905261361">
      <w:bodyDiv w:val="1"/>
      <w:marLeft w:val="0"/>
      <w:marRight w:val="0"/>
      <w:marTop w:val="0"/>
      <w:marBottom w:val="0"/>
      <w:divBdr>
        <w:top w:val="none" w:sz="0" w:space="0" w:color="auto"/>
        <w:left w:val="none" w:sz="0" w:space="0" w:color="auto"/>
        <w:bottom w:val="none" w:sz="0" w:space="0" w:color="auto"/>
        <w:right w:val="none" w:sz="0" w:space="0" w:color="auto"/>
      </w:divBdr>
    </w:div>
    <w:div w:id="1496219542">
      <w:bodyDiv w:val="1"/>
      <w:marLeft w:val="0"/>
      <w:marRight w:val="0"/>
      <w:marTop w:val="0"/>
      <w:marBottom w:val="0"/>
      <w:divBdr>
        <w:top w:val="none" w:sz="0" w:space="0" w:color="auto"/>
        <w:left w:val="none" w:sz="0" w:space="0" w:color="auto"/>
        <w:bottom w:val="none" w:sz="0" w:space="0" w:color="auto"/>
        <w:right w:val="none" w:sz="0" w:space="0" w:color="auto"/>
      </w:divBdr>
    </w:div>
    <w:div w:id="1634942929">
      <w:bodyDiv w:val="1"/>
      <w:marLeft w:val="0"/>
      <w:marRight w:val="0"/>
      <w:marTop w:val="0"/>
      <w:marBottom w:val="0"/>
      <w:divBdr>
        <w:top w:val="none" w:sz="0" w:space="0" w:color="auto"/>
        <w:left w:val="none" w:sz="0" w:space="0" w:color="auto"/>
        <w:bottom w:val="none" w:sz="0" w:space="0" w:color="auto"/>
        <w:right w:val="none" w:sz="0" w:space="0" w:color="auto"/>
      </w:divBdr>
    </w:div>
    <w:div w:id="2000644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chart" Target="charts/chart7.xml"/><Relationship Id="rId26" Type="http://schemas.openxmlformats.org/officeDocument/2006/relationships/chart" Target="charts/chart9.xml"/><Relationship Id="rId39" Type="http://schemas.openxmlformats.org/officeDocument/2006/relationships/image" Target="media/image9.emf"/><Relationship Id="rId21" Type="http://schemas.openxmlformats.org/officeDocument/2006/relationships/diagramLayout" Target="diagrams/layout1.xml"/><Relationship Id="rId34" Type="http://schemas.openxmlformats.org/officeDocument/2006/relationships/header" Target="header1.xml"/><Relationship Id="rId42" Type="http://schemas.openxmlformats.org/officeDocument/2006/relationships/image" Target="media/image12.emf"/><Relationship Id="rId47" Type="http://schemas.openxmlformats.org/officeDocument/2006/relationships/image" Target="media/image17.emf"/><Relationship Id="rId50" Type="http://schemas.openxmlformats.org/officeDocument/2006/relationships/image" Target="media/image20.emf"/><Relationship Id="rId55" Type="http://schemas.openxmlformats.org/officeDocument/2006/relationships/customXml" Target="../customXml/item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emf"/><Relationship Id="rId29" Type="http://schemas.openxmlformats.org/officeDocument/2006/relationships/diagramData" Target="diagrams/data2.xml"/><Relationship Id="rId11" Type="http://schemas.openxmlformats.org/officeDocument/2006/relationships/chart" Target="charts/chart2.xml"/><Relationship Id="rId24" Type="http://schemas.microsoft.com/office/2007/relationships/diagramDrawing" Target="diagrams/drawing1.xml"/><Relationship Id="rId32" Type="http://schemas.openxmlformats.org/officeDocument/2006/relationships/diagramColors" Target="diagrams/colors2.xml"/><Relationship Id="rId37" Type="http://schemas.openxmlformats.org/officeDocument/2006/relationships/image" Target="media/image7.emf"/><Relationship Id="rId40" Type="http://schemas.openxmlformats.org/officeDocument/2006/relationships/image" Target="media/image10.emf"/><Relationship Id="rId45" Type="http://schemas.openxmlformats.org/officeDocument/2006/relationships/image" Target="media/image15.emf"/><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chart" Target="charts/chart1.xml"/><Relationship Id="rId19" Type="http://schemas.openxmlformats.org/officeDocument/2006/relationships/image" Target="media/image3.emf"/><Relationship Id="rId31" Type="http://schemas.openxmlformats.org/officeDocument/2006/relationships/diagramQuickStyle" Target="diagrams/quickStyle2.xml"/><Relationship Id="rId44" Type="http://schemas.openxmlformats.org/officeDocument/2006/relationships/image" Target="media/image14.emf"/><Relationship Id="rId5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yperlink" Target="mailto:jgruetter@gmail.com" TargetMode="External"/><Relationship Id="rId14" Type="http://schemas.openxmlformats.org/officeDocument/2006/relationships/chart" Target="charts/chart4.xml"/><Relationship Id="rId22" Type="http://schemas.openxmlformats.org/officeDocument/2006/relationships/diagramQuickStyle" Target="diagrams/quickStyle1.xml"/><Relationship Id="rId27" Type="http://schemas.openxmlformats.org/officeDocument/2006/relationships/image" Target="media/image4.jpeg"/><Relationship Id="rId30" Type="http://schemas.openxmlformats.org/officeDocument/2006/relationships/diagramLayout" Target="diagrams/layout2.xml"/><Relationship Id="rId35" Type="http://schemas.openxmlformats.org/officeDocument/2006/relationships/footer" Target="footer1.xml"/><Relationship Id="rId43" Type="http://schemas.openxmlformats.org/officeDocument/2006/relationships/image" Target="media/image13.emf"/><Relationship Id="rId48" Type="http://schemas.openxmlformats.org/officeDocument/2006/relationships/image" Target="media/image18.emf"/><Relationship Id="rId56" Type="http://schemas.openxmlformats.org/officeDocument/2006/relationships/customXml" Target="../customXml/item4.xml"/><Relationship Id="rId8" Type="http://schemas.openxmlformats.org/officeDocument/2006/relationships/image" Target="media/image1.jpe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www.bpc.gov.bd/contactus.php?id=30" TargetMode="External"/><Relationship Id="rId17" Type="http://schemas.openxmlformats.org/officeDocument/2006/relationships/chart" Target="charts/chart6.xml"/><Relationship Id="rId25" Type="http://schemas.openxmlformats.org/officeDocument/2006/relationships/chart" Target="charts/chart8.xml"/><Relationship Id="rId33" Type="http://schemas.microsoft.com/office/2007/relationships/diagramDrawing" Target="diagrams/drawing2.xml"/><Relationship Id="rId38" Type="http://schemas.openxmlformats.org/officeDocument/2006/relationships/image" Target="media/image8.emf"/><Relationship Id="rId46" Type="http://schemas.openxmlformats.org/officeDocument/2006/relationships/image" Target="media/image16.emf"/><Relationship Id="rId20" Type="http://schemas.openxmlformats.org/officeDocument/2006/relationships/diagramData" Target="diagrams/data1.xml"/><Relationship Id="rId41" Type="http://schemas.openxmlformats.org/officeDocument/2006/relationships/image" Target="media/image11.emf"/><Relationship Id="rId54"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5.xml"/><Relationship Id="rId23" Type="http://schemas.openxmlformats.org/officeDocument/2006/relationships/diagramColors" Target="diagrams/colors1.xml"/><Relationship Id="rId28" Type="http://schemas.openxmlformats.org/officeDocument/2006/relationships/hyperlink" Target="http://www.climatefundsupdate.org" TargetMode="External"/><Relationship Id="rId36" Type="http://schemas.openxmlformats.org/officeDocument/2006/relationships/hyperlink" Target="file:///C:\Users\jurg%20grutter\Documents\GHG%20Transport\ADB%20Bangladesh\Reports\Rail%20NAMA%20Bangladesh.xlsx" TargetMode="External"/><Relationship Id="rId49" Type="http://schemas.openxmlformats.org/officeDocument/2006/relationships/image" Target="media/image19.emf"/></Relationships>
</file>

<file path=word/_rels/footnotes.xml.rels><?xml version="1.0" encoding="UTF-8" standalone="yes"?>
<Relationships xmlns="http://schemas.openxmlformats.org/package/2006/relationships"><Relationship Id="rId2" Type="http://schemas.openxmlformats.org/officeDocument/2006/relationships/hyperlink" Target="http://www.bpc.gov.bd/contactus.php?id=30" TargetMode="External"/><Relationship Id="rId1" Type="http://schemas.openxmlformats.org/officeDocument/2006/relationships/hyperlink" Target="http://www.globalpetrolprices.com/Bangladesh/diesel_prices/"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jurg%20grutter\Documents\GHG%20Transport\ADB%20Bangladesh\Reports\Rail%20NAMA%20Bangladesh.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2" Type="http://schemas.openxmlformats.org/officeDocument/2006/relationships/oleObject" Target="Mappe1"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jurg%20grutter\Documents\GHG%20Transport\ADB%20Bangladesh\Data\rail%20data%20BR.xlsx"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jurg%20grutter\Documents\GHG%20Transport\ADB%20Bangladesh\Data\rail%20data%20BR.xlsx"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jurg%20grutter\Documents\GHG%20Transport\ADB%20Bangladesh\Data\rail%20data%20BR.xlsx" TargetMode="External"/></Relationships>
</file>

<file path=word/charts/_rels/chart8.xml.rels><?xml version="1.0" encoding="UTF-8" standalone="yes"?>
<Relationships xmlns="http://schemas.openxmlformats.org/package/2006/relationships"><Relationship Id="rId3" Type="http://schemas.openxmlformats.org/officeDocument/2006/relationships/oleObject" Target="file:///C:\Users\jurg%20grutter\Documents\GHG%20Transport\ADB%20Bangladesh\Reports\Rail%20NAMA%20Bangladesh.xlsx" TargetMode="External"/><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jurg%20grutter\Documents\GHG%20Transport\ADB%20Bangladesh\Reports\Rail%20NAMA%20Bangladesh.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'Results Base Year'!$A$9</c:f>
              <c:strCache>
                <c:ptCount val="1"/>
                <c:pt idx="0">
                  <c:v>Coach</c:v>
                </c:pt>
              </c:strCache>
            </c:strRef>
          </c:tx>
          <c:spPr>
            <a:solidFill>
              <a:srgbClr val="0070C0"/>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'Results Base Year'!$B$7</c:f>
              <c:strCache>
                <c:ptCount val="1"/>
                <c:pt idx="0">
                  <c:v>GHG TTW</c:v>
                </c:pt>
              </c:strCache>
            </c:strRef>
          </c:cat>
          <c:val>
            <c:numRef>
              <c:f>'Results Base Year'!$B$9</c:f>
              <c:numCache>
                <c:formatCode>0</c:formatCode>
                <c:ptCount val="1"/>
                <c:pt idx="0">
                  <c:v>36.136624874999995</c:v>
                </c:pt>
              </c:numCache>
            </c:numRef>
          </c:val>
          <c:extLst>
            <c:ext xmlns:c16="http://schemas.microsoft.com/office/drawing/2014/chart" uri="{C3380CC4-5D6E-409C-BE32-E72D297353CC}">
              <c16:uniqueId val="{00000000-E97B-4564-808B-5F91BDCD3E9B}"/>
            </c:ext>
          </c:extLst>
        </c:ser>
        <c:ser>
          <c:idx val="2"/>
          <c:order val="2"/>
          <c:tx>
            <c:strRef>
              <c:f>'Results Base Year'!$A$10</c:f>
              <c:strCache>
                <c:ptCount val="1"/>
                <c:pt idx="0">
                  <c:v>Train passenger</c:v>
                </c:pt>
              </c:strCache>
            </c:strRef>
          </c:tx>
          <c:spPr>
            <a:solidFill>
              <a:srgbClr val="00B050"/>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'Results Base Year'!$B$7</c:f>
              <c:strCache>
                <c:ptCount val="1"/>
                <c:pt idx="0">
                  <c:v>GHG TTW</c:v>
                </c:pt>
              </c:strCache>
            </c:strRef>
          </c:cat>
          <c:val>
            <c:numRef>
              <c:f>'Results Base Year'!$B$10</c:f>
              <c:numCache>
                <c:formatCode>0</c:formatCode>
                <c:ptCount val="1"/>
                <c:pt idx="0">
                  <c:v>12.484928435489795</c:v>
                </c:pt>
              </c:numCache>
            </c:numRef>
          </c:val>
          <c:extLst>
            <c:ext xmlns:c16="http://schemas.microsoft.com/office/drawing/2014/chart" uri="{C3380CC4-5D6E-409C-BE32-E72D297353CC}">
              <c16:uniqueId val="{00000001-E97B-4564-808B-5F91BDCD3E9B}"/>
            </c:ext>
          </c:extLst>
        </c:ser>
        <c:ser>
          <c:idx val="7"/>
          <c:order val="7"/>
          <c:tx>
            <c:strRef>
              <c:f>'Results Base Year'!$A$15</c:f>
              <c:strCache>
                <c:ptCount val="1"/>
                <c:pt idx="0">
                  <c:v>Truck</c:v>
                </c:pt>
              </c:strCache>
            </c:strRef>
          </c:tx>
          <c:spPr>
            <a:solidFill>
              <a:srgbClr val="FFC000"/>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'Results Base Year'!$B$7</c:f>
              <c:strCache>
                <c:ptCount val="1"/>
                <c:pt idx="0">
                  <c:v>GHG TTW</c:v>
                </c:pt>
              </c:strCache>
            </c:strRef>
          </c:cat>
          <c:val>
            <c:numRef>
              <c:f>'Results Base Year'!$B$15</c:f>
              <c:numCache>
                <c:formatCode>0</c:formatCode>
                <c:ptCount val="1"/>
                <c:pt idx="0">
                  <c:v>110.16152385542168</c:v>
                </c:pt>
              </c:numCache>
            </c:numRef>
          </c:val>
          <c:extLst>
            <c:ext xmlns:c16="http://schemas.microsoft.com/office/drawing/2014/chart" uri="{C3380CC4-5D6E-409C-BE32-E72D297353CC}">
              <c16:uniqueId val="{00000002-E97B-4564-808B-5F91BDCD3E9B}"/>
            </c:ext>
          </c:extLst>
        </c:ser>
        <c:ser>
          <c:idx val="8"/>
          <c:order val="8"/>
          <c:tx>
            <c:strRef>
              <c:f>'Results Base Year'!$A$16</c:f>
              <c:strCache>
                <c:ptCount val="1"/>
                <c:pt idx="0">
                  <c:v>Train freight</c:v>
                </c:pt>
              </c:strCache>
            </c:strRef>
          </c:tx>
          <c:spPr>
            <a:solidFill>
              <a:schemeClr val="accent6">
                <a:lumMod val="40000"/>
                <a:lumOff val="60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'Results Base Year'!$B$7</c:f>
              <c:strCache>
                <c:ptCount val="1"/>
                <c:pt idx="0">
                  <c:v>GHG TTW</c:v>
                </c:pt>
              </c:strCache>
            </c:strRef>
          </c:cat>
          <c:val>
            <c:numRef>
              <c:f>'Results Base Year'!$B$16</c:f>
              <c:numCache>
                <c:formatCode>0</c:formatCode>
                <c:ptCount val="1"/>
                <c:pt idx="0">
                  <c:v>14.308053997610108</c:v>
                </c:pt>
              </c:numCache>
            </c:numRef>
          </c:val>
          <c:extLst>
            <c:ext xmlns:c16="http://schemas.microsoft.com/office/drawing/2014/chart" uri="{C3380CC4-5D6E-409C-BE32-E72D297353CC}">
              <c16:uniqueId val="{00000003-E97B-4564-808B-5F91BDCD3E9B}"/>
            </c:ext>
          </c:extLst>
        </c:ser>
        <c:dLbls>
          <c:dLblPos val="inEnd"/>
          <c:showLegendKey val="0"/>
          <c:showVal val="1"/>
          <c:showCatName val="0"/>
          <c:showSerName val="0"/>
          <c:showPercent val="0"/>
          <c:showBubbleSize val="0"/>
        </c:dLbls>
        <c:gapWidth val="65"/>
        <c:axId val="518511712"/>
        <c:axId val="518513024"/>
        <c:extLst>
          <c:ext xmlns:c15="http://schemas.microsoft.com/office/drawing/2012/chart" uri="{02D57815-91ED-43cb-92C2-25804820EDAC}">
            <c15:filteredBarSeries>
              <c15:ser>
                <c:idx val="0"/>
                <c:order val="0"/>
                <c:tx>
                  <c:strRef>
                    <c:extLst>
                      <c:ext uri="{02D57815-91ED-43cb-92C2-25804820EDAC}">
                        <c15:formulaRef>
                          <c15:sqref>'Results Base Year'!$A$8</c15:sqref>
                        </c15:formulaRef>
                      </c:ext>
                    </c:extLst>
                    <c:strCache>
                      <c:ptCount val="1"/>
                      <c:pt idx="0">
                        <c:v>Passenger cars</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uri="{CE6537A1-D6FC-4f65-9D91-7224C49458BB}">
                      <c15:showLeaderLines val="1"/>
                      <c15:leaderLines>
                        <c:spPr>
                          <a:ln w="9525">
                            <a:solidFill>
                              <a:schemeClr val="dk1">
                                <a:lumMod val="50000"/>
                                <a:lumOff val="50000"/>
                              </a:schemeClr>
                            </a:solidFill>
                          </a:ln>
                          <a:effectLst/>
                        </c:spPr>
                      </c15:leaderLines>
                    </c:ext>
                  </c:extLst>
                </c:dLbls>
                <c:cat>
                  <c:strRef>
                    <c:extLst>
                      <c:ext uri="{02D57815-91ED-43cb-92C2-25804820EDAC}">
                        <c15:formulaRef>
                          <c15:sqref>'Results Base Year'!$B$7</c15:sqref>
                        </c15:formulaRef>
                      </c:ext>
                    </c:extLst>
                    <c:strCache>
                      <c:ptCount val="1"/>
                      <c:pt idx="0">
                        <c:v>GHG TTW</c:v>
                      </c:pt>
                    </c:strCache>
                  </c:strRef>
                </c:cat>
                <c:val>
                  <c:numRef>
                    <c:extLst>
                      <c:ext uri="{02D57815-91ED-43cb-92C2-25804820EDAC}">
                        <c15:formulaRef>
                          <c15:sqref>'Results Base Year'!$B$8</c15:sqref>
                        </c15:formulaRef>
                      </c:ext>
                    </c:extLst>
                    <c:numCache>
                      <c:formatCode>0</c:formatCode>
                      <c:ptCount val="1"/>
                      <c:pt idx="0">
                        <c:v>105.31771249999998</c:v>
                      </c:pt>
                    </c:numCache>
                  </c:numRef>
                </c:val>
                <c:extLst>
                  <c:ext xmlns:c16="http://schemas.microsoft.com/office/drawing/2014/chart" uri="{C3380CC4-5D6E-409C-BE32-E72D297353CC}">
                    <c16:uniqueId val="{00000004-E97B-4564-808B-5F91BDCD3E9B}"/>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'Results Base Year'!$A$11</c15:sqref>
                        </c15:formulaRef>
                      </c:ext>
                    </c:extLst>
                    <c:strCache>
                      <c:ptCount val="1"/>
                      <c:pt idx="0">
                        <c:v>BC train not registered</c:v>
                      </c:pt>
                    </c:strCache>
                  </c:strRef>
                </c:tx>
                <c:spPr>
                  <a:solidFill>
                    <a:schemeClr val="accent4">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extLst xmlns:c15="http://schemas.microsoft.com/office/drawing/2012/chart">
                      <c:ext xmlns:c15="http://schemas.microsoft.com/office/drawing/2012/chart" uri="{02D57815-91ED-43cb-92C2-25804820EDAC}">
                        <c15:formulaRef>
                          <c15:sqref>'Results Base Year'!$B$7</c15:sqref>
                        </c15:formulaRef>
                      </c:ext>
                    </c:extLst>
                    <c:strCache>
                      <c:ptCount val="1"/>
                      <c:pt idx="0">
                        <c:v>GHG TTW</c:v>
                      </c:pt>
                    </c:strCache>
                  </c:strRef>
                </c:cat>
                <c:val>
                  <c:numRef>
                    <c:extLst xmlns:c15="http://schemas.microsoft.com/office/drawing/2012/chart">
                      <c:ext xmlns:c15="http://schemas.microsoft.com/office/drawing/2012/chart" uri="{02D57815-91ED-43cb-92C2-25804820EDAC}">
                        <c15:formulaRef>
                          <c15:sqref>'Results Base Year'!$B$11</c15:sqref>
                        </c15:formulaRef>
                      </c:ext>
                    </c:extLst>
                    <c:numCache>
                      <c:formatCode>0</c:formatCode>
                      <c:ptCount val="1"/>
                    </c:numCache>
                  </c:numRef>
                </c:val>
                <c:extLst xmlns:c15="http://schemas.microsoft.com/office/drawing/2012/chart">
                  <c:ext xmlns:c16="http://schemas.microsoft.com/office/drawing/2014/chart" uri="{C3380CC4-5D6E-409C-BE32-E72D297353CC}">
                    <c16:uniqueId val="{00000005-E97B-4564-808B-5F91BDCD3E9B}"/>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'Results Base Year'!$A$12</c15:sqref>
                        </c15:formulaRef>
                      </c:ext>
                    </c:extLst>
                    <c:strCache>
                      <c:ptCount val="1"/>
                    </c:strCache>
                  </c:strRef>
                </c:tx>
                <c:spPr>
                  <a:solidFill>
                    <a:schemeClr val="accent5">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extLst xmlns:c15="http://schemas.microsoft.com/office/drawing/2012/chart">
                      <c:ext xmlns:c15="http://schemas.microsoft.com/office/drawing/2012/chart" uri="{02D57815-91ED-43cb-92C2-25804820EDAC}">
                        <c15:formulaRef>
                          <c15:sqref>'Results Base Year'!$B$7</c15:sqref>
                        </c15:formulaRef>
                      </c:ext>
                    </c:extLst>
                    <c:strCache>
                      <c:ptCount val="1"/>
                      <c:pt idx="0">
                        <c:v>GHG TTW</c:v>
                      </c:pt>
                    </c:strCache>
                  </c:strRef>
                </c:cat>
                <c:val>
                  <c:numRef>
                    <c:extLst xmlns:c15="http://schemas.microsoft.com/office/drawing/2012/chart">
                      <c:ext xmlns:c15="http://schemas.microsoft.com/office/drawing/2012/chart" uri="{02D57815-91ED-43cb-92C2-25804820EDAC}">
                        <c15:formulaRef>
                          <c15:sqref>'Results Base Year'!$B$12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6-E97B-4564-808B-5F91BDCD3E9B}"/>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'Results Base Year'!$A$13</c15:sqref>
                        </c15:formulaRef>
                      </c:ext>
                    </c:extLst>
                    <c:strCache>
                      <c:ptCount val="1"/>
                      <c:pt idx="0">
                        <c:v>Freight transport in gCO2e/tkm</c:v>
                      </c:pt>
                    </c:strCache>
                  </c:strRef>
                </c:tx>
                <c:spPr>
                  <a:solidFill>
                    <a:schemeClr val="accent6">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extLst xmlns:c15="http://schemas.microsoft.com/office/drawing/2012/chart">
                      <c:ext xmlns:c15="http://schemas.microsoft.com/office/drawing/2012/chart" uri="{02D57815-91ED-43cb-92C2-25804820EDAC}">
                        <c15:formulaRef>
                          <c15:sqref>'Results Base Year'!$B$7</c15:sqref>
                        </c15:formulaRef>
                      </c:ext>
                    </c:extLst>
                    <c:strCache>
                      <c:ptCount val="1"/>
                      <c:pt idx="0">
                        <c:v>GHG TTW</c:v>
                      </c:pt>
                    </c:strCache>
                  </c:strRef>
                </c:cat>
                <c:val>
                  <c:numRef>
                    <c:extLst xmlns:c15="http://schemas.microsoft.com/office/drawing/2012/chart">
                      <c:ext xmlns:c15="http://schemas.microsoft.com/office/drawing/2012/chart" uri="{02D57815-91ED-43cb-92C2-25804820EDAC}">
                        <c15:formulaRef>
                          <c15:sqref>'Results Base Year'!$B$13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7-E97B-4564-808B-5F91BDCD3E9B}"/>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'Results Base Year'!$A$14</c15:sqref>
                        </c15:formulaRef>
                      </c:ext>
                    </c:extLst>
                    <c:strCache>
                      <c:ptCount val="1"/>
                      <c:pt idx="0">
                        <c:v>Mode</c:v>
                      </c:pt>
                    </c:strCache>
                  </c:strRef>
                </c:tx>
                <c:spPr>
                  <a:solidFill>
                    <a:schemeClr val="accent1">
                      <a:lumMod val="6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extLst xmlns:c15="http://schemas.microsoft.com/office/drawing/2012/chart">
                      <c:ext xmlns:c15="http://schemas.microsoft.com/office/drawing/2012/chart" uri="{02D57815-91ED-43cb-92C2-25804820EDAC}">
                        <c15:formulaRef>
                          <c15:sqref>'Results Base Year'!$B$7</c15:sqref>
                        </c15:formulaRef>
                      </c:ext>
                    </c:extLst>
                    <c:strCache>
                      <c:ptCount val="1"/>
                      <c:pt idx="0">
                        <c:v>GHG TTW</c:v>
                      </c:pt>
                    </c:strCache>
                  </c:strRef>
                </c:cat>
                <c:val>
                  <c:numRef>
                    <c:extLst xmlns:c15="http://schemas.microsoft.com/office/drawing/2012/chart">
                      <c:ext xmlns:c15="http://schemas.microsoft.com/office/drawing/2012/chart" uri="{02D57815-91ED-43cb-92C2-25804820EDAC}">
                        <c15:formulaRef>
                          <c15:sqref>'Results Base Year'!$B$14</c15:sqref>
                        </c15:formulaRef>
                      </c:ext>
                    </c:extLst>
                    <c:numCache>
                      <c:formatCode>General</c:formatCode>
                      <c:ptCount val="1"/>
                      <c:pt idx="0">
                        <c:v>0</c:v>
                      </c:pt>
                    </c:numCache>
                  </c:numRef>
                </c:val>
                <c:extLst xmlns:c15="http://schemas.microsoft.com/office/drawing/2012/chart">
                  <c:ext xmlns:c16="http://schemas.microsoft.com/office/drawing/2014/chart" uri="{C3380CC4-5D6E-409C-BE32-E72D297353CC}">
                    <c16:uniqueId val="{00000008-E97B-4564-808B-5F91BDCD3E9B}"/>
                  </c:ext>
                </c:extLst>
              </c15:ser>
            </c15:filteredBarSeries>
          </c:ext>
        </c:extLst>
      </c:barChart>
      <c:catAx>
        <c:axId val="518511712"/>
        <c:scaling>
          <c:orientation val="minMax"/>
        </c:scaling>
        <c:delete val="1"/>
        <c:axPos val="b"/>
        <c:numFmt formatCode="General" sourceLinked="1"/>
        <c:majorTickMark val="none"/>
        <c:minorTickMark val="none"/>
        <c:tickLblPos val="nextTo"/>
        <c:crossAx val="518513024"/>
        <c:crosses val="autoZero"/>
        <c:auto val="1"/>
        <c:lblAlgn val="ctr"/>
        <c:lblOffset val="100"/>
        <c:noMultiLvlLbl val="0"/>
      </c:catAx>
      <c:valAx>
        <c:axId val="51851302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n-US"/>
                  <a:t>gCO2/pkm and gCO2/tkm</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en-US"/>
            </a:p>
          </c:txPr>
        </c:title>
        <c:numFmt formatCode="0" sourceLinked="1"/>
        <c:majorTickMark val="none"/>
        <c:minorTickMark val="none"/>
        <c:tickLblPos val="nextTo"/>
        <c:crossAx val="51851171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3"/>
            <c:bubble3D val="0"/>
            <c:spPr>
              <a:solidFill>
                <a:srgbClr val="FFFF00"/>
              </a:solidFill>
            </c:spPr>
            <c:extLst>
              <c:ext xmlns:c16="http://schemas.microsoft.com/office/drawing/2014/chart" uri="{C3380CC4-5D6E-409C-BE32-E72D297353CC}">
                <c16:uniqueId val="{00000001-F4E7-4C2A-97D5-0FE38EB09329}"/>
              </c:ext>
            </c:extLst>
          </c:dPt>
          <c:dPt>
            <c:idx val="4"/>
            <c:bubble3D val="0"/>
            <c:spPr>
              <a:solidFill>
                <a:schemeClr val="tx1"/>
              </a:solidFill>
            </c:spPr>
            <c:extLst>
              <c:ext xmlns:c16="http://schemas.microsoft.com/office/drawing/2014/chart" uri="{C3380CC4-5D6E-409C-BE32-E72D297353CC}">
                <c16:uniqueId val="{00000003-F4E7-4C2A-97D5-0FE38EB09329}"/>
              </c:ext>
            </c:extLst>
          </c:dPt>
          <c:dLbls>
            <c:dLbl>
              <c:idx val="0"/>
              <c:layout>
                <c:manualLayout>
                  <c:x val="-0.17654684048471841"/>
                  <c:y val="0.1311834948245410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F4E7-4C2A-97D5-0FE38EB09329}"/>
                </c:ext>
              </c:extLst>
            </c:dLbl>
            <c:dLbl>
              <c:idx val="1"/>
              <c:layout>
                <c:manualLayout>
                  <c:x val="2.1144898324173565E-2"/>
                  <c:y val="-1.12842597088232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4E7-4C2A-97D5-0FE38EB09329}"/>
                </c:ext>
              </c:extLst>
            </c:dLbl>
            <c:dLbl>
              <c:idx val="2"/>
              <c:layout>
                <c:manualLayout>
                  <c:x val="-0.11404378320113301"/>
                  <c:y val="-0.1562477746581945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F4E7-4C2A-97D5-0FE38EB09329}"/>
                </c:ext>
              </c:extLst>
            </c:dLbl>
            <c:dLbl>
              <c:idx val="3"/>
              <c:layout>
                <c:manualLayout>
                  <c:x val="0.18818655955298405"/>
                  <c:y val="-4.730798730587631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4E7-4C2A-97D5-0FE38EB09329}"/>
                </c:ext>
              </c:extLst>
            </c:dLbl>
            <c:dLbl>
              <c:idx val="4"/>
              <c:layout>
                <c:manualLayout>
                  <c:x val="0.3178230207411919"/>
                  <c:y val="4.021447721179624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4E7-4C2A-97D5-0FE38EB09329}"/>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Tabelle1!$A$6:$A$10</c:f>
              <c:strCache>
                <c:ptCount val="5"/>
                <c:pt idx="0">
                  <c:v>agriculture</c:v>
                </c:pt>
                <c:pt idx="1">
                  <c:v>industry</c:v>
                </c:pt>
                <c:pt idx="2">
                  <c:v>power</c:v>
                </c:pt>
                <c:pt idx="3">
                  <c:v>transport</c:v>
                </c:pt>
                <c:pt idx="4">
                  <c:v>domestic and other</c:v>
                </c:pt>
              </c:strCache>
            </c:strRef>
          </c:cat>
          <c:val>
            <c:numRef>
              <c:f>Tabelle1!$B$6:$B$10</c:f>
              <c:numCache>
                <c:formatCode>General</c:formatCode>
                <c:ptCount val="5"/>
                <c:pt idx="0">
                  <c:v>990105</c:v>
                </c:pt>
                <c:pt idx="1">
                  <c:v>86229</c:v>
                </c:pt>
                <c:pt idx="2">
                  <c:v>367132</c:v>
                </c:pt>
                <c:pt idx="3">
                  <c:v>1766260</c:v>
                </c:pt>
                <c:pt idx="4">
                  <c:v>32828</c:v>
                </c:pt>
              </c:numCache>
            </c:numRef>
          </c:val>
          <c:extLst>
            <c:ext xmlns:c16="http://schemas.microsoft.com/office/drawing/2014/chart" uri="{C3380CC4-5D6E-409C-BE32-E72D297353CC}">
              <c16:uniqueId val="{00000007-F4E7-4C2A-97D5-0FE38EB09329}"/>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numRef>
              <c:f>Sheet1!$B$22:$D$22</c:f>
              <c:numCache>
                <c:formatCode>General</c:formatCode>
                <c:ptCount val="3"/>
                <c:pt idx="0">
                  <c:v>2005</c:v>
                </c:pt>
                <c:pt idx="1">
                  <c:v>2014</c:v>
                </c:pt>
                <c:pt idx="2">
                  <c:v>2030</c:v>
                </c:pt>
              </c:numCache>
            </c:numRef>
          </c:cat>
          <c:val>
            <c:numRef>
              <c:f>Sheet1!$B$23:$D$23</c:f>
              <c:numCache>
                <c:formatCode>General</c:formatCode>
                <c:ptCount val="3"/>
                <c:pt idx="0">
                  <c:v>5.5</c:v>
                </c:pt>
                <c:pt idx="1">
                  <c:v>10.6</c:v>
                </c:pt>
                <c:pt idx="2">
                  <c:v>37</c:v>
                </c:pt>
              </c:numCache>
            </c:numRef>
          </c:val>
          <c:extLst>
            <c:ext xmlns:c16="http://schemas.microsoft.com/office/drawing/2014/chart" uri="{C3380CC4-5D6E-409C-BE32-E72D297353CC}">
              <c16:uniqueId val="{00000000-29F5-45E1-A886-A6484A524D7C}"/>
            </c:ext>
          </c:extLst>
        </c:ser>
        <c:dLbls>
          <c:showLegendKey val="0"/>
          <c:showVal val="0"/>
          <c:showCatName val="0"/>
          <c:showSerName val="0"/>
          <c:showPercent val="0"/>
          <c:showBubbleSize val="0"/>
        </c:dLbls>
        <c:gapWidth val="219"/>
        <c:overlap val="-27"/>
        <c:axId val="448267984"/>
        <c:axId val="448270608"/>
      </c:barChart>
      <c:catAx>
        <c:axId val="448267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8270608"/>
        <c:crosses val="autoZero"/>
        <c:auto val="1"/>
        <c:lblAlgn val="ctr"/>
        <c:lblOffset val="100"/>
        <c:noMultiLvlLbl val="0"/>
      </c:catAx>
      <c:valAx>
        <c:axId val="4482706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MtCO2e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82679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602559055118109"/>
          <c:y val="5.0925925925925923E-2"/>
          <c:w val="0.81341885389326329"/>
          <c:h val="0.73577136191309422"/>
        </c:manualLayout>
      </c:layout>
      <c:lineChart>
        <c:grouping val="standard"/>
        <c:varyColors val="0"/>
        <c:ser>
          <c:idx val="0"/>
          <c:order val="0"/>
          <c:tx>
            <c:strRef>
              <c:f>Sheet1!$A$3</c:f>
              <c:strCache>
                <c:ptCount val="1"/>
                <c:pt idx="0">
                  <c:v>pkm rail</c:v>
                </c:pt>
              </c:strCache>
            </c:strRef>
          </c:tx>
          <c:spPr>
            <a:ln w="28575" cap="rnd">
              <a:solidFill>
                <a:srgbClr val="7030A0"/>
              </a:solidFill>
              <a:round/>
            </a:ln>
            <a:effectLst/>
          </c:spPr>
          <c:marker>
            <c:symbol val="none"/>
          </c:marker>
          <c:cat>
            <c:numRef>
              <c:f>Sheet1!$B$2:$C$2</c:f>
              <c:numCache>
                <c:formatCode>General</c:formatCode>
                <c:ptCount val="2"/>
                <c:pt idx="0">
                  <c:v>1976</c:v>
                </c:pt>
                <c:pt idx="1">
                  <c:v>2006</c:v>
                </c:pt>
              </c:numCache>
            </c:numRef>
          </c:cat>
          <c:val>
            <c:numRef>
              <c:f>Sheet1!$B$3:$C$3</c:f>
              <c:numCache>
                <c:formatCode>0%</c:formatCode>
                <c:ptCount val="2"/>
                <c:pt idx="0">
                  <c:v>0.3</c:v>
                </c:pt>
                <c:pt idx="1">
                  <c:v>0.04</c:v>
                </c:pt>
              </c:numCache>
            </c:numRef>
          </c:val>
          <c:smooth val="0"/>
          <c:extLst>
            <c:ext xmlns:c16="http://schemas.microsoft.com/office/drawing/2014/chart" uri="{C3380CC4-5D6E-409C-BE32-E72D297353CC}">
              <c16:uniqueId val="{00000000-D7BA-48CA-A36B-A3A63C89E42D}"/>
            </c:ext>
          </c:extLst>
        </c:ser>
        <c:ser>
          <c:idx val="1"/>
          <c:order val="1"/>
          <c:tx>
            <c:strRef>
              <c:f>Sheet1!$A$4</c:f>
              <c:strCache>
                <c:ptCount val="1"/>
                <c:pt idx="0">
                  <c:v>pkm road</c:v>
                </c:pt>
              </c:strCache>
            </c:strRef>
          </c:tx>
          <c:spPr>
            <a:ln w="28575" cap="rnd">
              <a:solidFill>
                <a:srgbClr val="00B0F0"/>
              </a:solidFill>
              <a:round/>
            </a:ln>
            <a:effectLst/>
          </c:spPr>
          <c:marker>
            <c:symbol val="none"/>
          </c:marker>
          <c:cat>
            <c:numRef>
              <c:f>Sheet1!$B$2:$C$2</c:f>
              <c:numCache>
                <c:formatCode>General</c:formatCode>
                <c:ptCount val="2"/>
                <c:pt idx="0">
                  <c:v>1976</c:v>
                </c:pt>
                <c:pt idx="1">
                  <c:v>2006</c:v>
                </c:pt>
              </c:numCache>
            </c:numRef>
          </c:cat>
          <c:val>
            <c:numRef>
              <c:f>Sheet1!$B$4:$C$4</c:f>
              <c:numCache>
                <c:formatCode>0%</c:formatCode>
                <c:ptCount val="2"/>
                <c:pt idx="0">
                  <c:v>0.54</c:v>
                </c:pt>
                <c:pt idx="1">
                  <c:v>0.9</c:v>
                </c:pt>
              </c:numCache>
            </c:numRef>
          </c:val>
          <c:smooth val="0"/>
          <c:extLst>
            <c:ext xmlns:c16="http://schemas.microsoft.com/office/drawing/2014/chart" uri="{C3380CC4-5D6E-409C-BE32-E72D297353CC}">
              <c16:uniqueId val="{00000001-D7BA-48CA-A36B-A3A63C89E42D}"/>
            </c:ext>
          </c:extLst>
        </c:ser>
        <c:ser>
          <c:idx val="2"/>
          <c:order val="2"/>
          <c:tx>
            <c:strRef>
              <c:f>Sheet1!$A$5</c:f>
              <c:strCache>
                <c:ptCount val="1"/>
                <c:pt idx="0">
                  <c:v>tkm rail</c:v>
                </c:pt>
              </c:strCache>
            </c:strRef>
          </c:tx>
          <c:spPr>
            <a:ln w="28575" cap="rnd">
              <a:solidFill>
                <a:srgbClr val="FF0000"/>
              </a:solidFill>
              <a:round/>
            </a:ln>
            <a:effectLst/>
          </c:spPr>
          <c:marker>
            <c:symbol val="none"/>
          </c:marker>
          <c:cat>
            <c:numRef>
              <c:f>Sheet1!$B$2:$C$2</c:f>
              <c:numCache>
                <c:formatCode>General</c:formatCode>
                <c:ptCount val="2"/>
                <c:pt idx="0">
                  <c:v>1976</c:v>
                </c:pt>
                <c:pt idx="1">
                  <c:v>2006</c:v>
                </c:pt>
              </c:numCache>
            </c:numRef>
          </c:cat>
          <c:val>
            <c:numRef>
              <c:f>Sheet1!$B$5:$C$5</c:f>
              <c:numCache>
                <c:formatCode>0%</c:formatCode>
                <c:ptCount val="2"/>
                <c:pt idx="0">
                  <c:v>0.28000000000000003</c:v>
                </c:pt>
                <c:pt idx="1">
                  <c:v>0.04</c:v>
                </c:pt>
              </c:numCache>
            </c:numRef>
          </c:val>
          <c:smooth val="0"/>
          <c:extLst>
            <c:ext xmlns:c16="http://schemas.microsoft.com/office/drawing/2014/chart" uri="{C3380CC4-5D6E-409C-BE32-E72D297353CC}">
              <c16:uniqueId val="{00000002-D7BA-48CA-A36B-A3A63C89E42D}"/>
            </c:ext>
          </c:extLst>
        </c:ser>
        <c:ser>
          <c:idx val="3"/>
          <c:order val="3"/>
          <c:tx>
            <c:strRef>
              <c:f>Sheet1!$A$6</c:f>
              <c:strCache>
                <c:ptCount val="1"/>
                <c:pt idx="0">
                  <c:v>tkm road</c:v>
                </c:pt>
              </c:strCache>
            </c:strRef>
          </c:tx>
          <c:spPr>
            <a:ln w="28575" cap="rnd">
              <a:solidFill>
                <a:schemeClr val="accent2">
                  <a:lumMod val="60000"/>
                  <a:lumOff val="40000"/>
                </a:schemeClr>
              </a:solidFill>
              <a:round/>
            </a:ln>
            <a:effectLst/>
          </c:spPr>
          <c:marker>
            <c:symbol val="none"/>
          </c:marker>
          <c:cat>
            <c:numRef>
              <c:f>Sheet1!$B$2:$C$2</c:f>
              <c:numCache>
                <c:formatCode>General</c:formatCode>
                <c:ptCount val="2"/>
                <c:pt idx="0">
                  <c:v>1976</c:v>
                </c:pt>
                <c:pt idx="1">
                  <c:v>2006</c:v>
                </c:pt>
              </c:numCache>
            </c:numRef>
          </c:cat>
          <c:val>
            <c:numRef>
              <c:f>Sheet1!$B$6:$C$6</c:f>
              <c:numCache>
                <c:formatCode>0%</c:formatCode>
                <c:ptCount val="2"/>
                <c:pt idx="0">
                  <c:v>0.35</c:v>
                </c:pt>
                <c:pt idx="1">
                  <c:v>0.8</c:v>
                </c:pt>
              </c:numCache>
            </c:numRef>
          </c:val>
          <c:smooth val="0"/>
          <c:extLst>
            <c:ext xmlns:c16="http://schemas.microsoft.com/office/drawing/2014/chart" uri="{C3380CC4-5D6E-409C-BE32-E72D297353CC}">
              <c16:uniqueId val="{00000003-D7BA-48CA-A36B-A3A63C89E42D}"/>
            </c:ext>
          </c:extLst>
        </c:ser>
        <c:dLbls>
          <c:showLegendKey val="0"/>
          <c:showVal val="0"/>
          <c:showCatName val="0"/>
          <c:showSerName val="0"/>
          <c:showPercent val="0"/>
          <c:showBubbleSize val="0"/>
        </c:dLbls>
        <c:smooth val="0"/>
        <c:axId val="421445888"/>
        <c:axId val="421446544"/>
      </c:lineChart>
      <c:catAx>
        <c:axId val="421445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1446544"/>
        <c:crosses val="autoZero"/>
        <c:auto val="1"/>
        <c:lblAlgn val="ctr"/>
        <c:lblOffset val="100"/>
        <c:noMultiLvlLbl val="0"/>
      </c:catAx>
      <c:valAx>
        <c:axId val="4214465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Mode Share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1445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1"/>
          <c:tx>
            <c:strRef>
              <c:f>Tabelle1!$B$26</c:f>
              <c:strCache>
                <c:ptCount val="1"/>
                <c:pt idx="0">
                  <c:v>Million pkm</c:v>
                </c:pt>
              </c:strCache>
            </c:strRef>
          </c:tx>
          <c:spPr>
            <a:ln w="28575" cap="rnd">
              <a:solidFill>
                <a:schemeClr val="accent2"/>
              </a:solidFill>
              <a:round/>
            </a:ln>
            <a:effectLst/>
          </c:spPr>
          <c:marker>
            <c:symbol val="none"/>
          </c:marker>
          <c:cat>
            <c:strRef>
              <c:f>Tabelle1!$C$24:$AQ$24</c:f>
              <c:strCache>
                <c:ptCount val="41"/>
                <c:pt idx="0">
                  <c:v>1969-70</c:v>
                </c:pt>
                <c:pt idx="1">
                  <c:v>1974-75</c:v>
                </c:pt>
                <c:pt idx="2">
                  <c:v>1975-76</c:v>
                </c:pt>
                <c:pt idx="3">
                  <c:v>1976-77</c:v>
                </c:pt>
                <c:pt idx="4">
                  <c:v>1977-78</c:v>
                </c:pt>
                <c:pt idx="5">
                  <c:v>1978-79</c:v>
                </c:pt>
                <c:pt idx="6">
                  <c:v>1979-80</c:v>
                </c:pt>
                <c:pt idx="7">
                  <c:v>1980-81</c:v>
                </c:pt>
                <c:pt idx="8">
                  <c:v>1981-82</c:v>
                </c:pt>
                <c:pt idx="9">
                  <c:v>1982-83</c:v>
                </c:pt>
                <c:pt idx="10">
                  <c:v>1983-84</c:v>
                </c:pt>
                <c:pt idx="11">
                  <c:v>1984-85</c:v>
                </c:pt>
                <c:pt idx="12">
                  <c:v>1985-86</c:v>
                </c:pt>
                <c:pt idx="13">
                  <c:v>1986-87</c:v>
                </c:pt>
                <c:pt idx="14">
                  <c:v>1987-88</c:v>
                </c:pt>
                <c:pt idx="15">
                  <c:v>1988-89</c:v>
                </c:pt>
                <c:pt idx="16">
                  <c:v>1989-90</c:v>
                </c:pt>
                <c:pt idx="17">
                  <c:v>1990-91</c:v>
                </c:pt>
                <c:pt idx="18">
                  <c:v>1991-92</c:v>
                </c:pt>
                <c:pt idx="19">
                  <c:v>1992-93</c:v>
                </c:pt>
                <c:pt idx="20">
                  <c:v>1993-94</c:v>
                </c:pt>
                <c:pt idx="21">
                  <c:v>1994-95</c:v>
                </c:pt>
                <c:pt idx="22">
                  <c:v>1995-96</c:v>
                </c:pt>
                <c:pt idx="23">
                  <c:v>1996-97</c:v>
                </c:pt>
                <c:pt idx="24">
                  <c:v>1997-98</c:v>
                </c:pt>
                <c:pt idx="25">
                  <c:v>1998-99</c:v>
                </c:pt>
                <c:pt idx="26">
                  <c:v>1999-00</c:v>
                </c:pt>
                <c:pt idx="27">
                  <c:v>2000-01</c:v>
                </c:pt>
                <c:pt idx="28">
                  <c:v>2001-02</c:v>
                </c:pt>
                <c:pt idx="29">
                  <c:v>2002-03</c:v>
                </c:pt>
                <c:pt idx="30">
                  <c:v>2003-04</c:v>
                </c:pt>
                <c:pt idx="31">
                  <c:v>2004-05</c:v>
                </c:pt>
                <c:pt idx="32">
                  <c:v>2005-06</c:v>
                </c:pt>
                <c:pt idx="33">
                  <c:v>2006-07</c:v>
                </c:pt>
                <c:pt idx="34">
                  <c:v>2007-08</c:v>
                </c:pt>
                <c:pt idx="35">
                  <c:v>2008-09</c:v>
                </c:pt>
                <c:pt idx="36">
                  <c:v>2009-10</c:v>
                </c:pt>
                <c:pt idx="37">
                  <c:v>2010-11</c:v>
                </c:pt>
                <c:pt idx="38">
                  <c:v>2011-12</c:v>
                </c:pt>
                <c:pt idx="39">
                  <c:v>2012-13</c:v>
                </c:pt>
                <c:pt idx="40">
                  <c:v>2013-14</c:v>
                </c:pt>
              </c:strCache>
            </c:strRef>
          </c:cat>
          <c:val>
            <c:numRef>
              <c:f>Tabelle1!$C$26:$AQ$26</c:f>
              <c:numCache>
                <c:formatCode>#,##0</c:formatCode>
                <c:ptCount val="41"/>
                <c:pt idx="0">
                  <c:v>3317</c:v>
                </c:pt>
                <c:pt idx="1">
                  <c:v>4061.7</c:v>
                </c:pt>
                <c:pt idx="2">
                  <c:v>4461.8</c:v>
                </c:pt>
                <c:pt idx="3">
                  <c:v>4633.8</c:v>
                </c:pt>
                <c:pt idx="4">
                  <c:v>5005.8</c:v>
                </c:pt>
                <c:pt idx="5">
                  <c:v>4833.3999999999996</c:v>
                </c:pt>
                <c:pt idx="6">
                  <c:v>5118.8999999999996</c:v>
                </c:pt>
                <c:pt idx="7">
                  <c:v>5197.5</c:v>
                </c:pt>
                <c:pt idx="8">
                  <c:v>5365.6</c:v>
                </c:pt>
                <c:pt idx="9">
                  <c:v>6427.1</c:v>
                </c:pt>
                <c:pt idx="10">
                  <c:v>6283.5</c:v>
                </c:pt>
                <c:pt idx="11">
                  <c:v>6031.4</c:v>
                </c:pt>
                <c:pt idx="12">
                  <c:v>6005.3</c:v>
                </c:pt>
                <c:pt idx="13">
                  <c:v>6027.2</c:v>
                </c:pt>
                <c:pt idx="14">
                  <c:v>5052.2</c:v>
                </c:pt>
                <c:pt idx="15">
                  <c:v>4338.3</c:v>
                </c:pt>
                <c:pt idx="16">
                  <c:v>5069.6000000000004</c:v>
                </c:pt>
                <c:pt idx="17">
                  <c:v>4586.8999999999996</c:v>
                </c:pt>
                <c:pt idx="18">
                  <c:v>5347.8</c:v>
                </c:pt>
                <c:pt idx="19">
                  <c:v>5111.8999999999996</c:v>
                </c:pt>
                <c:pt idx="20">
                  <c:v>4570.1000000000004</c:v>
                </c:pt>
                <c:pt idx="21">
                  <c:v>4037.2</c:v>
                </c:pt>
                <c:pt idx="22">
                  <c:v>3333.2</c:v>
                </c:pt>
                <c:pt idx="23">
                  <c:v>3753.6</c:v>
                </c:pt>
                <c:pt idx="24">
                  <c:v>3855.5</c:v>
                </c:pt>
                <c:pt idx="25">
                  <c:v>3678.3</c:v>
                </c:pt>
                <c:pt idx="26">
                  <c:v>3940.7</c:v>
                </c:pt>
                <c:pt idx="27">
                  <c:v>4209.2</c:v>
                </c:pt>
                <c:pt idx="28">
                  <c:v>3971.8</c:v>
                </c:pt>
                <c:pt idx="29">
                  <c:v>4024.2</c:v>
                </c:pt>
                <c:pt idx="30">
                  <c:v>4341.5</c:v>
                </c:pt>
                <c:pt idx="31">
                  <c:v>4164.1000000000004</c:v>
                </c:pt>
                <c:pt idx="32">
                  <c:v>4387.3999999999996</c:v>
                </c:pt>
                <c:pt idx="33">
                  <c:v>4586</c:v>
                </c:pt>
                <c:pt idx="34">
                  <c:v>5609.2</c:v>
                </c:pt>
                <c:pt idx="35">
                  <c:v>6800.7</c:v>
                </c:pt>
                <c:pt idx="36">
                  <c:v>7304.9</c:v>
                </c:pt>
                <c:pt idx="37">
                  <c:v>8051.9</c:v>
                </c:pt>
                <c:pt idx="38">
                  <c:v>8787.2000000000007</c:v>
                </c:pt>
                <c:pt idx="39">
                  <c:v>8253.4</c:v>
                </c:pt>
                <c:pt idx="40">
                  <c:v>8134.7</c:v>
                </c:pt>
              </c:numCache>
            </c:numRef>
          </c:val>
          <c:smooth val="0"/>
          <c:extLst>
            <c:ext xmlns:c16="http://schemas.microsoft.com/office/drawing/2014/chart" uri="{C3380CC4-5D6E-409C-BE32-E72D297353CC}">
              <c16:uniqueId val="{00000000-55DB-412E-9064-5AA190748F08}"/>
            </c:ext>
          </c:extLst>
        </c:ser>
        <c:ser>
          <c:idx val="4"/>
          <c:order val="4"/>
          <c:tx>
            <c:strRef>
              <c:f>Tabelle1!$B$29</c:f>
              <c:strCache>
                <c:ptCount val="1"/>
                <c:pt idx="0">
                  <c:v>Million tkm</c:v>
                </c:pt>
              </c:strCache>
            </c:strRef>
          </c:tx>
          <c:spPr>
            <a:ln w="28575" cap="rnd">
              <a:solidFill>
                <a:schemeClr val="accent5"/>
              </a:solidFill>
              <a:round/>
            </a:ln>
            <a:effectLst/>
          </c:spPr>
          <c:marker>
            <c:symbol val="none"/>
          </c:marker>
          <c:cat>
            <c:strRef>
              <c:f>Tabelle1!$C$24:$AQ$24</c:f>
              <c:strCache>
                <c:ptCount val="41"/>
                <c:pt idx="0">
                  <c:v>1969-70</c:v>
                </c:pt>
                <c:pt idx="1">
                  <c:v>1974-75</c:v>
                </c:pt>
                <c:pt idx="2">
                  <c:v>1975-76</c:v>
                </c:pt>
                <c:pt idx="3">
                  <c:v>1976-77</c:v>
                </c:pt>
                <c:pt idx="4">
                  <c:v>1977-78</c:v>
                </c:pt>
                <c:pt idx="5">
                  <c:v>1978-79</c:v>
                </c:pt>
                <c:pt idx="6">
                  <c:v>1979-80</c:v>
                </c:pt>
                <c:pt idx="7">
                  <c:v>1980-81</c:v>
                </c:pt>
                <c:pt idx="8">
                  <c:v>1981-82</c:v>
                </c:pt>
                <c:pt idx="9">
                  <c:v>1982-83</c:v>
                </c:pt>
                <c:pt idx="10">
                  <c:v>1983-84</c:v>
                </c:pt>
                <c:pt idx="11">
                  <c:v>1984-85</c:v>
                </c:pt>
                <c:pt idx="12">
                  <c:v>1985-86</c:v>
                </c:pt>
                <c:pt idx="13">
                  <c:v>1986-87</c:v>
                </c:pt>
                <c:pt idx="14">
                  <c:v>1987-88</c:v>
                </c:pt>
                <c:pt idx="15">
                  <c:v>1988-89</c:v>
                </c:pt>
                <c:pt idx="16">
                  <c:v>1989-90</c:v>
                </c:pt>
                <c:pt idx="17">
                  <c:v>1990-91</c:v>
                </c:pt>
                <c:pt idx="18">
                  <c:v>1991-92</c:v>
                </c:pt>
                <c:pt idx="19">
                  <c:v>1992-93</c:v>
                </c:pt>
                <c:pt idx="20">
                  <c:v>1993-94</c:v>
                </c:pt>
                <c:pt idx="21">
                  <c:v>1994-95</c:v>
                </c:pt>
                <c:pt idx="22">
                  <c:v>1995-96</c:v>
                </c:pt>
                <c:pt idx="23">
                  <c:v>1996-97</c:v>
                </c:pt>
                <c:pt idx="24">
                  <c:v>1997-98</c:v>
                </c:pt>
                <c:pt idx="25">
                  <c:v>1998-99</c:v>
                </c:pt>
                <c:pt idx="26">
                  <c:v>1999-00</c:v>
                </c:pt>
                <c:pt idx="27">
                  <c:v>2000-01</c:v>
                </c:pt>
                <c:pt idx="28">
                  <c:v>2001-02</c:v>
                </c:pt>
                <c:pt idx="29">
                  <c:v>2002-03</c:v>
                </c:pt>
                <c:pt idx="30">
                  <c:v>2003-04</c:v>
                </c:pt>
                <c:pt idx="31">
                  <c:v>2004-05</c:v>
                </c:pt>
                <c:pt idx="32">
                  <c:v>2005-06</c:v>
                </c:pt>
                <c:pt idx="33">
                  <c:v>2006-07</c:v>
                </c:pt>
                <c:pt idx="34">
                  <c:v>2007-08</c:v>
                </c:pt>
                <c:pt idx="35">
                  <c:v>2008-09</c:v>
                </c:pt>
                <c:pt idx="36">
                  <c:v>2009-10</c:v>
                </c:pt>
                <c:pt idx="37">
                  <c:v>2010-11</c:v>
                </c:pt>
                <c:pt idx="38">
                  <c:v>2011-12</c:v>
                </c:pt>
                <c:pt idx="39">
                  <c:v>2012-13</c:v>
                </c:pt>
                <c:pt idx="40">
                  <c:v>2013-14</c:v>
                </c:pt>
              </c:strCache>
            </c:strRef>
          </c:cat>
          <c:val>
            <c:numRef>
              <c:f>Tabelle1!$C$29:$AQ$29</c:f>
              <c:numCache>
                <c:formatCode>#,##0</c:formatCode>
                <c:ptCount val="41"/>
                <c:pt idx="0">
                  <c:v>1265.0999999999999</c:v>
                </c:pt>
                <c:pt idx="1">
                  <c:v>623.20000000000005</c:v>
                </c:pt>
                <c:pt idx="2">
                  <c:v>717</c:v>
                </c:pt>
                <c:pt idx="3">
                  <c:v>712.4</c:v>
                </c:pt>
                <c:pt idx="4">
                  <c:v>786.1</c:v>
                </c:pt>
                <c:pt idx="5">
                  <c:v>838.5</c:v>
                </c:pt>
                <c:pt idx="6">
                  <c:v>854.7</c:v>
                </c:pt>
                <c:pt idx="7">
                  <c:v>786.6</c:v>
                </c:pt>
                <c:pt idx="8">
                  <c:v>844.5</c:v>
                </c:pt>
                <c:pt idx="9">
                  <c:v>814.5</c:v>
                </c:pt>
                <c:pt idx="10">
                  <c:v>778.6</c:v>
                </c:pt>
                <c:pt idx="11">
                  <c:v>812.9</c:v>
                </c:pt>
                <c:pt idx="12">
                  <c:v>612.20000000000005</c:v>
                </c:pt>
                <c:pt idx="13">
                  <c:v>502.59</c:v>
                </c:pt>
                <c:pt idx="14">
                  <c:v>678.27</c:v>
                </c:pt>
                <c:pt idx="15">
                  <c:v>665.94</c:v>
                </c:pt>
                <c:pt idx="16">
                  <c:v>643.48</c:v>
                </c:pt>
                <c:pt idx="17">
                  <c:v>650.99</c:v>
                </c:pt>
                <c:pt idx="18">
                  <c:v>718.39</c:v>
                </c:pt>
                <c:pt idx="19">
                  <c:v>641.44000000000005</c:v>
                </c:pt>
                <c:pt idx="20">
                  <c:v>640.80999999999995</c:v>
                </c:pt>
                <c:pt idx="21">
                  <c:v>759.78</c:v>
                </c:pt>
                <c:pt idx="22">
                  <c:v>689.02</c:v>
                </c:pt>
                <c:pt idx="23">
                  <c:v>782.43</c:v>
                </c:pt>
                <c:pt idx="24">
                  <c:v>803.85</c:v>
                </c:pt>
                <c:pt idx="25">
                  <c:v>896.4</c:v>
                </c:pt>
                <c:pt idx="26">
                  <c:v>777.16</c:v>
                </c:pt>
                <c:pt idx="27">
                  <c:v>907.88</c:v>
                </c:pt>
                <c:pt idx="28">
                  <c:v>951.82</c:v>
                </c:pt>
                <c:pt idx="29">
                  <c:v>951.99</c:v>
                </c:pt>
                <c:pt idx="30">
                  <c:v>895.5</c:v>
                </c:pt>
                <c:pt idx="31">
                  <c:v>816.82</c:v>
                </c:pt>
                <c:pt idx="32">
                  <c:v>820.49</c:v>
                </c:pt>
                <c:pt idx="33">
                  <c:v>775.58</c:v>
                </c:pt>
                <c:pt idx="34">
                  <c:v>869.59</c:v>
                </c:pt>
                <c:pt idx="35">
                  <c:v>800.16</c:v>
                </c:pt>
                <c:pt idx="36">
                  <c:v>710.06</c:v>
                </c:pt>
                <c:pt idx="37">
                  <c:v>692.64</c:v>
                </c:pt>
                <c:pt idx="38">
                  <c:v>582.11</c:v>
                </c:pt>
                <c:pt idx="39">
                  <c:v>525.37</c:v>
                </c:pt>
                <c:pt idx="40">
                  <c:v>677.36</c:v>
                </c:pt>
              </c:numCache>
            </c:numRef>
          </c:val>
          <c:smooth val="0"/>
          <c:extLst>
            <c:ext xmlns:c16="http://schemas.microsoft.com/office/drawing/2014/chart" uri="{C3380CC4-5D6E-409C-BE32-E72D297353CC}">
              <c16:uniqueId val="{00000001-55DB-412E-9064-5AA190748F08}"/>
            </c:ext>
          </c:extLst>
        </c:ser>
        <c:dLbls>
          <c:showLegendKey val="0"/>
          <c:showVal val="0"/>
          <c:showCatName val="0"/>
          <c:showSerName val="0"/>
          <c:showPercent val="0"/>
          <c:showBubbleSize val="0"/>
        </c:dLbls>
        <c:smooth val="0"/>
        <c:axId val="489308072"/>
        <c:axId val="489314960"/>
        <c:extLst>
          <c:ext xmlns:c15="http://schemas.microsoft.com/office/drawing/2012/chart" uri="{02D57815-91ED-43cb-92C2-25804820EDAC}">
            <c15:filteredLineSeries>
              <c15:ser>
                <c:idx val="0"/>
                <c:order val="0"/>
                <c:tx>
                  <c:strRef>
                    <c:extLst>
                      <c:ext uri="{02D57815-91ED-43cb-92C2-25804820EDAC}">
                        <c15:formulaRef>
                          <c15:sqref>Tabelle1!$B$25</c15:sqref>
                        </c15:formulaRef>
                      </c:ext>
                    </c:extLst>
                    <c:strCache>
                      <c:ptCount val="1"/>
                      <c:pt idx="0">
                        <c:v>Million passengers</c:v>
                      </c:pt>
                    </c:strCache>
                  </c:strRef>
                </c:tx>
                <c:spPr>
                  <a:ln w="28575" cap="rnd">
                    <a:solidFill>
                      <a:schemeClr val="accent1"/>
                    </a:solidFill>
                    <a:round/>
                  </a:ln>
                  <a:effectLst/>
                </c:spPr>
                <c:marker>
                  <c:symbol val="none"/>
                </c:marker>
                <c:cat>
                  <c:strRef>
                    <c:extLst>
                      <c:ext uri="{02D57815-91ED-43cb-92C2-25804820EDAC}">
                        <c15:formulaRef>
                          <c15:sqref>Tabelle1!$C$24:$AQ$24</c15:sqref>
                        </c15:formulaRef>
                      </c:ext>
                    </c:extLst>
                    <c:strCache>
                      <c:ptCount val="41"/>
                      <c:pt idx="0">
                        <c:v>1969-70</c:v>
                      </c:pt>
                      <c:pt idx="1">
                        <c:v>1974-75</c:v>
                      </c:pt>
                      <c:pt idx="2">
                        <c:v>1975-76</c:v>
                      </c:pt>
                      <c:pt idx="3">
                        <c:v>1976-77</c:v>
                      </c:pt>
                      <c:pt idx="4">
                        <c:v>1977-78</c:v>
                      </c:pt>
                      <c:pt idx="5">
                        <c:v>1978-79</c:v>
                      </c:pt>
                      <c:pt idx="6">
                        <c:v>1979-80</c:v>
                      </c:pt>
                      <c:pt idx="7">
                        <c:v>1980-81</c:v>
                      </c:pt>
                      <c:pt idx="8">
                        <c:v>1981-82</c:v>
                      </c:pt>
                      <c:pt idx="9">
                        <c:v>1982-83</c:v>
                      </c:pt>
                      <c:pt idx="10">
                        <c:v>1983-84</c:v>
                      </c:pt>
                      <c:pt idx="11">
                        <c:v>1984-85</c:v>
                      </c:pt>
                      <c:pt idx="12">
                        <c:v>1985-86</c:v>
                      </c:pt>
                      <c:pt idx="13">
                        <c:v>1986-87</c:v>
                      </c:pt>
                      <c:pt idx="14">
                        <c:v>1987-88</c:v>
                      </c:pt>
                      <c:pt idx="15">
                        <c:v>1988-89</c:v>
                      </c:pt>
                      <c:pt idx="16">
                        <c:v>1989-90</c:v>
                      </c:pt>
                      <c:pt idx="17">
                        <c:v>1990-91</c:v>
                      </c:pt>
                      <c:pt idx="18">
                        <c:v>1991-92</c:v>
                      </c:pt>
                      <c:pt idx="19">
                        <c:v>1992-93</c:v>
                      </c:pt>
                      <c:pt idx="20">
                        <c:v>1993-94</c:v>
                      </c:pt>
                      <c:pt idx="21">
                        <c:v>1994-95</c:v>
                      </c:pt>
                      <c:pt idx="22">
                        <c:v>1995-96</c:v>
                      </c:pt>
                      <c:pt idx="23">
                        <c:v>1996-97</c:v>
                      </c:pt>
                      <c:pt idx="24">
                        <c:v>1997-98</c:v>
                      </c:pt>
                      <c:pt idx="25">
                        <c:v>1998-99</c:v>
                      </c:pt>
                      <c:pt idx="26">
                        <c:v>1999-00</c:v>
                      </c:pt>
                      <c:pt idx="27">
                        <c:v>2000-01</c:v>
                      </c:pt>
                      <c:pt idx="28">
                        <c:v>2001-02</c:v>
                      </c:pt>
                      <c:pt idx="29">
                        <c:v>2002-03</c:v>
                      </c:pt>
                      <c:pt idx="30">
                        <c:v>2003-04</c:v>
                      </c:pt>
                      <c:pt idx="31">
                        <c:v>2004-05</c:v>
                      </c:pt>
                      <c:pt idx="32">
                        <c:v>2005-06</c:v>
                      </c:pt>
                      <c:pt idx="33">
                        <c:v>2006-07</c:v>
                      </c:pt>
                      <c:pt idx="34">
                        <c:v>2007-08</c:v>
                      </c:pt>
                      <c:pt idx="35">
                        <c:v>2008-09</c:v>
                      </c:pt>
                      <c:pt idx="36">
                        <c:v>2009-10</c:v>
                      </c:pt>
                      <c:pt idx="37">
                        <c:v>2010-11</c:v>
                      </c:pt>
                      <c:pt idx="38">
                        <c:v>2011-12</c:v>
                      </c:pt>
                      <c:pt idx="39">
                        <c:v>2012-13</c:v>
                      </c:pt>
                      <c:pt idx="40">
                        <c:v>2013-14</c:v>
                      </c:pt>
                    </c:strCache>
                  </c:strRef>
                </c:cat>
                <c:val>
                  <c:numRef>
                    <c:extLst>
                      <c:ext uri="{02D57815-91ED-43cb-92C2-25804820EDAC}">
                        <c15:formulaRef>
                          <c15:sqref>Tabelle1!$C$25:$AQ$25</c15:sqref>
                        </c15:formulaRef>
                      </c:ext>
                    </c:extLst>
                    <c:numCache>
                      <c:formatCode>#,##0</c:formatCode>
                      <c:ptCount val="41"/>
                      <c:pt idx="0">
                        <c:v>72.89</c:v>
                      </c:pt>
                      <c:pt idx="1">
                        <c:v>82.63</c:v>
                      </c:pt>
                      <c:pt idx="2">
                        <c:v>93.82</c:v>
                      </c:pt>
                      <c:pt idx="3">
                        <c:v>94.45</c:v>
                      </c:pt>
                      <c:pt idx="4">
                        <c:v>96.21</c:v>
                      </c:pt>
                      <c:pt idx="5">
                        <c:v>89.76</c:v>
                      </c:pt>
                      <c:pt idx="6">
                        <c:v>88.55</c:v>
                      </c:pt>
                      <c:pt idx="7">
                        <c:v>89.3</c:v>
                      </c:pt>
                      <c:pt idx="8">
                        <c:v>90.35</c:v>
                      </c:pt>
                      <c:pt idx="9">
                        <c:v>105.64</c:v>
                      </c:pt>
                      <c:pt idx="10">
                        <c:v>98.87</c:v>
                      </c:pt>
                      <c:pt idx="11">
                        <c:v>90.32</c:v>
                      </c:pt>
                      <c:pt idx="12">
                        <c:v>82</c:v>
                      </c:pt>
                      <c:pt idx="13">
                        <c:v>72.319999999999993</c:v>
                      </c:pt>
                      <c:pt idx="14">
                        <c:v>53</c:v>
                      </c:pt>
                      <c:pt idx="15">
                        <c:v>50.8</c:v>
                      </c:pt>
                      <c:pt idx="16">
                        <c:v>55.38</c:v>
                      </c:pt>
                      <c:pt idx="17">
                        <c:v>48.39</c:v>
                      </c:pt>
                      <c:pt idx="18">
                        <c:v>52.3</c:v>
                      </c:pt>
                      <c:pt idx="19">
                        <c:v>50.28</c:v>
                      </c:pt>
                      <c:pt idx="20">
                        <c:v>44.52</c:v>
                      </c:pt>
                      <c:pt idx="21">
                        <c:v>39.65</c:v>
                      </c:pt>
                      <c:pt idx="22">
                        <c:v>32.71</c:v>
                      </c:pt>
                      <c:pt idx="23">
                        <c:v>37.49</c:v>
                      </c:pt>
                      <c:pt idx="24">
                        <c:v>38.299999999999997</c:v>
                      </c:pt>
                      <c:pt idx="25">
                        <c:v>36.24</c:v>
                      </c:pt>
                      <c:pt idx="26">
                        <c:v>38.630000000000003</c:v>
                      </c:pt>
                      <c:pt idx="27">
                        <c:v>41.21</c:v>
                      </c:pt>
                      <c:pt idx="28">
                        <c:v>38.72</c:v>
                      </c:pt>
                      <c:pt idx="29">
                        <c:v>39.159999999999997</c:v>
                      </c:pt>
                      <c:pt idx="30">
                        <c:v>43.44</c:v>
                      </c:pt>
                      <c:pt idx="31">
                        <c:v>42.25</c:v>
                      </c:pt>
                      <c:pt idx="32">
                        <c:v>44.52</c:v>
                      </c:pt>
                      <c:pt idx="33">
                        <c:v>45.76</c:v>
                      </c:pt>
                      <c:pt idx="34">
                        <c:v>53.82</c:v>
                      </c:pt>
                      <c:pt idx="35">
                        <c:v>65.03</c:v>
                      </c:pt>
                      <c:pt idx="36">
                        <c:v>65.63</c:v>
                      </c:pt>
                      <c:pt idx="37">
                        <c:v>63.54</c:v>
                      </c:pt>
                      <c:pt idx="38">
                        <c:v>66.14</c:v>
                      </c:pt>
                      <c:pt idx="39">
                        <c:v>62.6</c:v>
                      </c:pt>
                      <c:pt idx="40">
                        <c:v>64.959999999999994</c:v>
                      </c:pt>
                    </c:numCache>
                  </c:numRef>
                </c:val>
                <c:smooth val="0"/>
                <c:extLst>
                  <c:ext xmlns:c16="http://schemas.microsoft.com/office/drawing/2014/chart" uri="{C3380CC4-5D6E-409C-BE32-E72D297353CC}">
                    <c16:uniqueId val="{00000002-55DB-412E-9064-5AA190748F08}"/>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Tabelle1!$B$27</c15:sqref>
                        </c15:formulaRef>
                      </c:ext>
                    </c:extLst>
                    <c:strCache>
                      <c:ptCount val="1"/>
                      <c:pt idx="0">
                        <c:v>Average distance in km</c:v>
                      </c:pt>
                    </c:strCache>
                  </c:strRef>
                </c:tx>
                <c:spPr>
                  <a:ln w="28575" cap="rnd">
                    <a:solidFill>
                      <a:schemeClr val="accent3"/>
                    </a:solidFill>
                    <a:round/>
                  </a:ln>
                  <a:effectLst/>
                </c:spPr>
                <c:marker>
                  <c:symbol val="none"/>
                </c:marker>
                <c:cat>
                  <c:strRef>
                    <c:extLst xmlns:c15="http://schemas.microsoft.com/office/drawing/2012/chart">
                      <c:ext xmlns:c15="http://schemas.microsoft.com/office/drawing/2012/chart" uri="{02D57815-91ED-43cb-92C2-25804820EDAC}">
                        <c15:formulaRef>
                          <c15:sqref>Tabelle1!$C$24:$AQ$24</c15:sqref>
                        </c15:formulaRef>
                      </c:ext>
                    </c:extLst>
                    <c:strCache>
                      <c:ptCount val="41"/>
                      <c:pt idx="0">
                        <c:v>1969-70</c:v>
                      </c:pt>
                      <c:pt idx="1">
                        <c:v>1974-75</c:v>
                      </c:pt>
                      <c:pt idx="2">
                        <c:v>1975-76</c:v>
                      </c:pt>
                      <c:pt idx="3">
                        <c:v>1976-77</c:v>
                      </c:pt>
                      <c:pt idx="4">
                        <c:v>1977-78</c:v>
                      </c:pt>
                      <c:pt idx="5">
                        <c:v>1978-79</c:v>
                      </c:pt>
                      <c:pt idx="6">
                        <c:v>1979-80</c:v>
                      </c:pt>
                      <c:pt idx="7">
                        <c:v>1980-81</c:v>
                      </c:pt>
                      <c:pt idx="8">
                        <c:v>1981-82</c:v>
                      </c:pt>
                      <c:pt idx="9">
                        <c:v>1982-83</c:v>
                      </c:pt>
                      <c:pt idx="10">
                        <c:v>1983-84</c:v>
                      </c:pt>
                      <c:pt idx="11">
                        <c:v>1984-85</c:v>
                      </c:pt>
                      <c:pt idx="12">
                        <c:v>1985-86</c:v>
                      </c:pt>
                      <c:pt idx="13">
                        <c:v>1986-87</c:v>
                      </c:pt>
                      <c:pt idx="14">
                        <c:v>1987-88</c:v>
                      </c:pt>
                      <c:pt idx="15">
                        <c:v>1988-89</c:v>
                      </c:pt>
                      <c:pt idx="16">
                        <c:v>1989-90</c:v>
                      </c:pt>
                      <c:pt idx="17">
                        <c:v>1990-91</c:v>
                      </c:pt>
                      <c:pt idx="18">
                        <c:v>1991-92</c:v>
                      </c:pt>
                      <c:pt idx="19">
                        <c:v>1992-93</c:v>
                      </c:pt>
                      <c:pt idx="20">
                        <c:v>1993-94</c:v>
                      </c:pt>
                      <c:pt idx="21">
                        <c:v>1994-95</c:v>
                      </c:pt>
                      <c:pt idx="22">
                        <c:v>1995-96</c:v>
                      </c:pt>
                      <c:pt idx="23">
                        <c:v>1996-97</c:v>
                      </c:pt>
                      <c:pt idx="24">
                        <c:v>1997-98</c:v>
                      </c:pt>
                      <c:pt idx="25">
                        <c:v>1998-99</c:v>
                      </c:pt>
                      <c:pt idx="26">
                        <c:v>1999-00</c:v>
                      </c:pt>
                      <c:pt idx="27">
                        <c:v>2000-01</c:v>
                      </c:pt>
                      <c:pt idx="28">
                        <c:v>2001-02</c:v>
                      </c:pt>
                      <c:pt idx="29">
                        <c:v>2002-03</c:v>
                      </c:pt>
                      <c:pt idx="30">
                        <c:v>2003-04</c:v>
                      </c:pt>
                      <c:pt idx="31">
                        <c:v>2004-05</c:v>
                      </c:pt>
                      <c:pt idx="32">
                        <c:v>2005-06</c:v>
                      </c:pt>
                      <c:pt idx="33">
                        <c:v>2006-07</c:v>
                      </c:pt>
                      <c:pt idx="34">
                        <c:v>2007-08</c:v>
                      </c:pt>
                      <c:pt idx="35">
                        <c:v>2008-09</c:v>
                      </c:pt>
                      <c:pt idx="36">
                        <c:v>2009-10</c:v>
                      </c:pt>
                      <c:pt idx="37">
                        <c:v>2010-11</c:v>
                      </c:pt>
                      <c:pt idx="38">
                        <c:v>2011-12</c:v>
                      </c:pt>
                      <c:pt idx="39">
                        <c:v>2012-13</c:v>
                      </c:pt>
                      <c:pt idx="40">
                        <c:v>2013-14</c:v>
                      </c:pt>
                    </c:strCache>
                  </c:strRef>
                </c:cat>
                <c:val>
                  <c:numRef>
                    <c:extLst xmlns:c15="http://schemas.microsoft.com/office/drawing/2012/chart">
                      <c:ext xmlns:c15="http://schemas.microsoft.com/office/drawing/2012/chart" uri="{02D57815-91ED-43cb-92C2-25804820EDAC}">
                        <c15:formulaRef>
                          <c15:sqref>Tabelle1!$C$27:$AQ$27</c15:sqref>
                        </c15:formulaRef>
                      </c:ext>
                    </c:extLst>
                    <c:numCache>
                      <c:formatCode>#,##0</c:formatCode>
                      <c:ptCount val="41"/>
                      <c:pt idx="0">
                        <c:v>45.5</c:v>
                      </c:pt>
                      <c:pt idx="1">
                        <c:v>49.2</c:v>
                      </c:pt>
                      <c:pt idx="2">
                        <c:v>47.6</c:v>
                      </c:pt>
                      <c:pt idx="3">
                        <c:v>49.1</c:v>
                      </c:pt>
                      <c:pt idx="4">
                        <c:v>52</c:v>
                      </c:pt>
                      <c:pt idx="5">
                        <c:v>53.9</c:v>
                      </c:pt>
                      <c:pt idx="6">
                        <c:v>57.8</c:v>
                      </c:pt>
                      <c:pt idx="7">
                        <c:v>58.3</c:v>
                      </c:pt>
                      <c:pt idx="8">
                        <c:v>59.4</c:v>
                      </c:pt>
                      <c:pt idx="9">
                        <c:v>60.8</c:v>
                      </c:pt>
                      <c:pt idx="10">
                        <c:v>63.6</c:v>
                      </c:pt>
                      <c:pt idx="11">
                        <c:v>66.8</c:v>
                      </c:pt>
                      <c:pt idx="12">
                        <c:v>73.2</c:v>
                      </c:pt>
                      <c:pt idx="13">
                        <c:v>83.3</c:v>
                      </c:pt>
                      <c:pt idx="14">
                        <c:v>95.3</c:v>
                      </c:pt>
                      <c:pt idx="15">
                        <c:v>85.4</c:v>
                      </c:pt>
                      <c:pt idx="16">
                        <c:v>91.5</c:v>
                      </c:pt>
                      <c:pt idx="17">
                        <c:v>94.8</c:v>
                      </c:pt>
                      <c:pt idx="18">
                        <c:v>102.3</c:v>
                      </c:pt>
                      <c:pt idx="19">
                        <c:v>101.7</c:v>
                      </c:pt>
                      <c:pt idx="20">
                        <c:v>102.7</c:v>
                      </c:pt>
                      <c:pt idx="21">
                        <c:v>101.8</c:v>
                      </c:pt>
                      <c:pt idx="22">
                        <c:v>101.9</c:v>
                      </c:pt>
                      <c:pt idx="23">
                        <c:v>100.1</c:v>
                      </c:pt>
                      <c:pt idx="24">
                        <c:v>100.7</c:v>
                      </c:pt>
                      <c:pt idx="25">
                        <c:v>101.5</c:v>
                      </c:pt>
                      <c:pt idx="26">
                        <c:v>102</c:v>
                      </c:pt>
                      <c:pt idx="27">
                        <c:v>102.1</c:v>
                      </c:pt>
                      <c:pt idx="28">
                        <c:v>102.6</c:v>
                      </c:pt>
                      <c:pt idx="29">
                        <c:v>102.8</c:v>
                      </c:pt>
                      <c:pt idx="30">
                        <c:v>100</c:v>
                      </c:pt>
                      <c:pt idx="31">
                        <c:v>98.6</c:v>
                      </c:pt>
                      <c:pt idx="32">
                        <c:v>98.6</c:v>
                      </c:pt>
                      <c:pt idx="33">
                        <c:v>100.2</c:v>
                      </c:pt>
                      <c:pt idx="34">
                        <c:v>104.2</c:v>
                      </c:pt>
                      <c:pt idx="35">
                        <c:v>104.6</c:v>
                      </c:pt>
                      <c:pt idx="36">
                        <c:v>111.3</c:v>
                      </c:pt>
                      <c:pt idx="37">
                        <c:v>126.7</c:v>
                      </c:pt>
                      <c:pt idx="38">
                        <c:v>132.9</c:v>
                      </c:pt>
                      <c:pt idx="39">
                        <c:v>131.80000000000001</c:v>
                      </c:pt>
                      <c:pt idx="40">
                        <c:v>125.2</c:v>
                      </c:pt>
                    </c:numCache>
                  </c:numRef>
                </c:val>
                <c:smooth val="0"/>
                <c:extLst xmlns:c15="http://schemas.microsoft.com/office/drawing/2012/chart">
                  <c:ext xmlns:c16="http://schemas.microsoft.com/office/drawing/2014/chart" uri="{C3380CC4-5D6E-409C-BE32-E72D297353CC}">
                    <c16:uniqueId val="{00000003-55DB-412E-9064-5AA190748F08}"/>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Tabelle1!$B$28</c15:sqref>
                        </c15:formulaRef>
                      </c:ext>
                    </c:extLst>
                    <c:strCache>
                      <c:ptCount val="1"/>
                      <c:pt idx="0">
                        <c:v>Million tons</c:v>
                      </c:pt>
                    </c:strCache>
                  </c:strRef>
                </c:tx>
                <c:spPr>
                  <a:ln w="28575" cap="rnd">
                    <a:solidFill>
                      <a:schemeClr val="accent4"/>
                    </a:solidFill>
                    <a:round/>
                  </a:ln>
                  <a:effectLst/>
                </c:spPr>
                <c:marker>
                  <c:symbol val="none"/>
                </c:marker>
                <c:cat>
                  <c:strRef>
                    <c:extLst xmlns:c15="http://schemas.microsoft.com/office/drawing/2012/chart">
                      <c:ext xmlns:c15="http://schemas.microsoft.com/office/drawing/2012/chart" uri="{02D57815-91ED-43cb-92C2-25804820EDAC}">
                        <c15:formulaRef>
                          <c15:sqref>Tabelle1!$C$24:$AQ$24</c15:sqref>
                        </c15:formulaRef>
                      </c:ext>
                    </c:extLst>
                    <c:strCache>
                      <c:ptCount val="41"/>
                      <c:pt idx="0">
                        <c:v>1969-70</c:v>
                      </c:pt>
                      <c:pt idx="1">
                        <c:v>1974-75</c:v>
                      </c:pt>
                      <c:pt idx="2">
                        <c:v>1975-76</c:v>
                      </c:pt>
                      <c:pt idx="3">
                        <c:v>1976-77</c:v>
                      </c:pt>
                      <c:pt idx="4">
                        <c:v>1977-78</c:v>
                      </c:pt>
                      <c:pt idx="5">
                        <c:v>1978-79</c:v>
                      </c:pt>
                      <c:pt idx="6">
                        <c:v>1979-80</c:v>
                      </c:pt>
                      <c:pt idx="7">
                        <c:v>1980-81</c:v>
                      </c:pt>
                      <c:pt idx="8">
                        <c:v>1981-82</c:v>
                      </c:pt>
                      <c:pt idx="9">
                        <c:v>1982-83</c:v>
                      </c:pt>
                      <c:pt idx="10">
                        <c:v>1983-84</c:v>
                      </c:pt>
                      <c:pt idx="11">
                        <c:v>1984-85</c:v>
                      </c:pt>
                      <c:pt idx="12">
                        <c:v>1985-86</c:v>
                      </c:pt>
                      <c:pt idx="13">
                        <c:v>1986-87</c:v>
                      </c:pt>
                      <c:pt idx="14">
                        <c:v>1987-88</c:v>
                      </c:pt>
                      <c:pt idx="15">
                        <c:v>1988-89</c:v>
                      </c:pt>
                      <c:pt idx="16">
                        <c:v>1989-90</c:v>
                      </c:pt>
                      <c:pt idx="17">
                        <c:v>1990-91</c:v>
                      </c:pt>
                      <c:pt idx="18">
                        <c:v>1991-92</c:v>
                      </c:pt>
                      <c:pt idx="19">
                        <c:v>1992-93</c:v>
                      </c:pt>
                      <c:pt idx="20">
                        <c:v>1993-94</c:v>
                      </c:pt>
                      <c:pt idx="21">
                        <c:v>1994-95</c:v>
                      </c:pt>
                      <c:pt idx="22">
                        <c:v>1995-96</c:v>
                      </c:pt>
                      <c:pt idx="23">
                        <c:v>1996-97</c:v>
                      </c:pt>
                      <c:pt idx="24">
                        <c:v>1997-98</c:v>
                      </c:pt>
                      <c:pt idx="25">
                        <c:v>1998-99</c:v>
                      </c:pt>
                      <c:pt idx="26">
                        <c:v>1999-00</c:v>
                      </c:pt>
                      <c:pt idx="27">
                        <c:v>2000-01</c:v>
                      </c:pt>
                      <c:pt idx="28">
                        <c:v>2001-02</c:v>
                      </c:pt>
                      <c:pt idx="29">
                        <c:v>2002-03</c:v>
                      </c:pt>
                      <c:pt idx="30">
                        <c:v>2003-04</c:v>
                      </c:pt>
                      <c:pt idx="31">
                        <c:v>2004-05</c:v>
                      </c:pt>
                      <c:pt idx="32">
                        <c:v>2005-06</c:v>
                      </c:pt>
                      <c:pt idx="33">
                        <c:v>2006-07</c:v>
                      </c:pt>
                      <c:pt idx="34">
                        <c:v>2007-08</c:v>
                      </c:pt>
                      <c:pt idx="35">
                        <c:v>2008-09</c:v>
                      </c:pt>
                      <c:pt idx="36">
                        <c:v>2009-10</c:v>
                      </c:pt>
                      <c:pt idx="37">
                        <c:v>2010-11</c:v>
                      </c:pt>
                      <c:pt idx="38">
                        <c:v>2011-12</c:v>
                      </c:pt>
                      <c:pt idx="39">
                        <c:v>2012-13</c:v>
                      </c:pt>
                      <c:pt idx="40">
                        <c:v>2013-14</c:v>
                      </c:pt>
                    </c:strCache>
                  </c:strRef>
                </c:cat>
                <c:val>
                  <c:numRef>
                    <c:extLst xmlns:c15="http://schemas.microsoft.com/office/drawing/2012/chart">
                      <c:ext xmlns:c15="http://schemas.microsoft.com/office/drawing/2012/chart" uri="{02D57815-91ED-43cb-92C2-25804820EDAC}">
                        <c15:formulaRef>
                          <c15:sqref>Tabelle1!$C$28:$AQ$28</c15:sqref>
                        </c15:formulaRef>
                      </c:ext>
                    </c:extLst>
                    <c:numCache>
                      <c:formatCode>#,##0.00</c:formatCode>
                      <c:ptCount val="41"/>
                      <c:pt idx="0">
                        <c:v>4.88</c:v>
                      </c:pt>
                      <c:pt idx="1">
                        <c:v>2.94</c:v>
                      </c:pt>
                      <c:pt idx="2">
                        <c:v>3.39</c:v>
                      </c:pt>
                      <c:pt idx="3">
                        <c:v>3.16</c:v>
                      </c:pt>
                      <c:pt idx="4">
                        <c:v>3.57</c:v>
                      </c:pt>
                      <c:pt idx="5">
                        <c:v>3.24</c:v>
                      </c:pt>
                      <c:pt idx="6">
                        <c:v>3.18</c:v>
                      </c:pt>
                      <c:pt idx="7">
                        <c:v>2.98</c:v>
                      </c:pt>
                      <c:pt idx="8">
                        <c:v>3.23</c:v>
                      </c:pt>
                      <c:pt idx="9">
                        <c:v>3</c:v>
                      </c:pt>
                      <c:pt idx="10">
                        <c:v>2.94</c:v>
                      </c:pt>
                      <c:pt idx="11">
                        <c:v>3.01</c:v>
                      </c:pt>
                      <c:pt idx="12">
                        <c:v>2.34</c:v>
                      </c:pt>
                      <c:pt idx="13">
                        <c:v>1.98</c:v>
                      </c:pt>
                      <c:pt idx="14">
                        <c:v>2.52</c:v>
                      </c:pt>
                      <c:pt idx="15">
                        <c:v>2.4900000000000002</c:v>
                      </c:pt>
                      <c:pt idx="16">
                        <c:v>2.41</c:v>
                      </c:pt>
                      <c:pt idx="17">
                        <c:v>2.52</c:v>
                      </c:pt>
                      <c:pt idx="18">
                        <c:v>2.5099999999999998</c:v>
                      </c:pt>
                      <c:pt idx="19">
                        <c:v>2.4</c:v>
                      </c:pt>
                      <c:pt idx="20">
                        <c:v>2.4700000000000002</c:v>
                      </c:pt>
                      <c:pt idx="21">
                        <c:v>2.73</c:v>
                      </c:pt>
                      <c:pt idx="22">
                        <c:v>2.5499999999999998</c:v>
                      </c:pt>
                      <c:pt idx="23">
                        <c:v>2.94</c:v>
                      </c:pt>
                      <c:pt idx="24">
                        <c:v>3.04</c:v>
                      </c:pt>
                      <c:pt idx="25">
                        <c:v>3.42</c:v>
                      </c:pt>
                      <c:pt idx="26">
                        <c:v>2.89</c:v>
                      </c:pt>
                      <c:pt idx="27">
                        <c:v>3.47</c:v>
                      </c:pt>
                      <c:pt idx="28">
                        <c:v>3.67</c:v>
                      </c:pt>
                      <c:pt idx="29">
                        <c:v>3.67</c:v>
                      </c:pt>
                      <c:pt idx="30">
                        <c:v>3.47</c:v>
                      </c:pt>
                      <c:pt idx="31">
                        <c:v>3.21</c:v>
                      </c:pt>
                      <c:pt idx="32">
                        <c:v>3.06</c:v>
                      </c:pt>
                      <c:pt idx="33">
                        <c:v>2.97</c:v>
                      </c:pt>
                      <c:pt idx="34">
                        <c:v>3.28</c:v>
                      </c:pt>
                      <c:pt idx="35">
                        <c:v>3.01</c:v>
                      </c:pt>
                      <c:pt idx="36">
                        <c:v>2.71</c:v>
                      </c:pt>
                      <c:pt idx="37">
                        <c:v>2.5499999999999998</c:v>
                      </c:pt>
                      <c:pt idx="38">
                        <c:v>2.19</c:v>
                      </c:pt>
                      <c:pt idx="39">
                        <c:v>2.0099999999999998</c:v>
                      </c:pt>
                      <c:pt idx="40">
                        <c:v>2.52</c:v>
                      </c:pt>
                    </c:numCache>
                  </c:numRef>
                </c:val>
                <c:smooth val="0"/>
                <c:extLst xmlns:c15="http://schemas.microsoft.com/office/drawing/2012/chart">
                  <c:ext xmlns:c16="http://schemas.microsoft.com/office/drawing/2014/chart" uri="{C3380CC4-5D6E-409C-BE32-E72D297353CC}">
                    <c16:uniqueId val="{00000004-55DB-412E-9064-5AA190748F08}"/>
                  </c:ext>
                </c:extLst>
              </c15:ser>
            </c15:filteredLineSeries>
          </c:ext>
        </c:extLst>
      </c:lineChart>
      <c:catAx>
        <c:axId val="489308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9314960"/>
        <c:crosses val="autoZero"/>
        <c:auto val="1"/>
        <c:lblAlgn val="ctr"/>
        <c:lblOffset val="100"/>
        <c:noMultiLvlLbl val="0"/>
      </c:catAx>
      <c:valAx>
        <c:axId val="4893149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Mpkm/Mtkm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9308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Tabelle1!$A$53</c:f>
              <c:strCache>
                <c:ptCount val="1"/>
                <c:pt idx="0">
                  <c:v>BAU</c:v>
                </c:pt>
              </c:strCache>
            </c:strRef>
          </c:tx>
          <c:spPr>
            <a:ln w="28575" cap="rnd" cmpd="sng">
              <a:solidFill>
                <a:srgbClr val="0070C0"/>
              </a:solidFill>
              <a:round/>
            </a:ln>
            <a:effectLst/>
          </c:spPr>
          <c:marker>
            <c:symbol val="none"/>
          </c:marker>
          <c:cat>
            <c:numRef>
              <c:f>Tabelle1!$B$51:$BG$51</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Tabelle1!$B$53:$BG$53</c:f>
              <c:numCache>
                <c:formatCode>#,##0</c:formatCode>
                <c:ptCount val="21"/>
                <c:pt idx="0">
                  <c:v>8051.9</c:v>
                </c:pt>
                <c:pt idx="1">
                  <c:v>8787.2000000000007</c:v>
                </c:pt>
                <c:pt idx="2">
                  <c:v>8253.4</c:v>
                </c:pt>
                <c:pt idx="3">
                  <c:v>8134.7</c:v>
                </c:pt>
                <c:pt idx="4">
                  <c:v>8134.7</c:v>
                </c:pt>
                <c:pt idx="5">
                  <c:v>8110</c:v>
                </c:pt>
                <c:pt idx="6">
                  <c:v>8110</c:v>
                </c:pt>
                <c:pt idx="7">
                  <c:v>8110</c:v>
                </c:pt>
                <c:pt idx="8">
                  <c:v>8110</c:v>
                </c:pt>
                <c:pt idx="9">
                  <c:v>8110</c:v>
                </c:pt>
                <c:pt idx="10">
                  <c:v>8110</c:v>
                </c:pt>
                <c:pt idx="11">
                  <c:v>8110</c:v>
                </c:pt>
                <c:pt idx="12">
                  <c:v>8110</c:v>
                </c:pt>
                <c:pt idx="13">
                  <c:v>8110</c:v>
                </c:pt>
                <c:pt idx="14">
                  <c:v>8110</c:v>
                </c:pt>
                <c:pt idx="15">
                  <c:v>8110</c:v>
                </c:pt>
                <c:pt idx="16">
                  <c:v>8110</c:v>
                </c:pt>
                <c:pt idx="17">
                  <c:v>8110</c:v>
                </c:pt>
                <c:pt idx="18">
                  <c:v>8110</c:v>
                </c:pt>
                <c:pt idx="19">
                  <c:v>8110</c:v>
                </c:pt>
                <c:pt idx="20">
                  <c:v>8110</c:v>
                </c:pt>
              </c:numCache>
            </c:numRef>
          </c:val>
          <c:smooth val="0"/>
          <c:extLst>
            <c:ext xmlns:c16="http://schemas.microsoft.com/office/drawing/2014/chart" uri="{C3380CC4-5D6E-409C-BE32-E72D297353CC}">
              <c16:uniqueId val="{00000000-45E1-4026-AB5D-4FF821B1166F}"/>
            </c:ext>
          </c:extLst>
        </c:ser>
        <c:ser>
          <c:idx val="1"/>
          <c:order val="1"/>
          <c:tx>
            <c:strRef>
              <c:f>Tabelle1!$A$52</c:f>
              <c:strCache>
                <c:ptCount val="1"/>
                <c:pt idx="0">
                  <c:v>with NAMA</c:v>
                </c:pt>
              </c:strCache>
            </c:strRef>
          </c:tx>
          <c:spPr>
            <a:ln w="28575" cap="rnd">
              <a:gradFill>
                <a:gsLst>
                  <a:gs pos="0">
                    <a:srgbClr val="92D050"/>
                  </a:gs>
                  <a:gs pos="0">
                    <a:srgbClr val="92D050"/>
                  </a:gs>
                  <a:gs pos="77000">
                    <a:srgbClr val="92D050"/>
                  </a:gs>
                  <a:gs pos="100000">
                    <a:schemeClr val="tx2"/>
                  </a:gs>
                </a:gsLst>
                <a:lin ang="5400000" scaled="1"/>
              </a:gradFill>
              <a:round/>
            </a:ln>
            <a:effectLst/>
          </c:spPr>
          <c:marker>
            <c:symbol val="none"/>
          </c:marker>
          <c:cat>
            <c:numRef>
              <c:f>Tabelle1!$B$51:$BG$51</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Tabelle1!$B$52:$BG$52</c:f>
              <c:numCache>
                <c:formatCode>#,##0</c:formatCode>
                <c:ptCount val="21"/>
                <c:pt idx="0">
                  <c:v>8051.9</c:v>
                </c:pt>
                <c:pt idx="1">
                  <c:v>8787.2000000000007</c:v>
                </c:pt>
                <c:pt idx="2">
                  <c:v>8253.4</c:v>
                </c:pt>
                <c:pt idx="3">
                  <c:v>8134.7</c:v>
                </c:pt>
                <c:pt idx="4">
                  <c:v>8134.7</c:v>
                </c:pt>
                <c:pt idx="5">
                  <c:v>8110</c:v>
                </c:pt>
                <c:pt idx="6">
                  <c:v>8110</c:v>
                </c:pt>
                <c:pt idx="7">
                  <c:v>8596.1944999999996</c:v>
                </c:pt>
                <c:pt idx="8">
                  <c:v>9111.5363602749985</c:v>
                </c:pt>
                <c:pt idx="9">
                  <c:v>9657.7729650734836</c:v>
                </c:pt>
                <c:pt idx="10">
                  <c:v>10236.756454329639</c:v>
                </c:pt>
                <c:pt idx="11">
                  <c:v>10799.778059317769</c:v>
                </c:pt>
                <c:pt idx="12">
                  <c:v>11393.765852580245</c:v>
                </c:pt>
                <c:pt idx="13">
                  <c:v>12020.422974472158</c:v>
                </c:pt>
                <c:pt idx="14">
                  <c:v>12681.546238068126</c:v>
                </c:pt>
                <c:pt idx="15">
                  <c:v>13379.031281161871</c:v>
                </c:pt>
                <c:pt idx="16">
                  <c:v>14114.878001625773</c:v>
                </c:pt>
                <c:pt idx="17">
                  <c:v>14891.19629171519</c:v>
                </c:pt>
                <c:pt idx="18">
                  <c:v>15710.212087759524</c:v>
                </c:pt>
                <c:pt idx="19">
                  <c:v>16574.273752586298</c:v>
                </c:pt>
                <c:pt idx="20">
                  <c:v>17485.858808978544</c:v>
                </c:pt>
              </c:numCache>
            </c:numRef>
          </c:val>
          <c:smooth val="0"/>
          <c:extLst>
            <c:ext xmlns:c16="http://schemas.microsoft.com/office/drawing/2014/chart" uri="{C3380CC4-5D6E-409C-BE32-E72D297353CC}">
              <c16:uniqueId val="{00000001-45E1-4026-AB5D-4FF821B1166F}"/>
            </c:ext>
          </c:extLst>
        </c:ser>
        <c:dLbls>
          <c:showLegendKey val="0"/>
          <c:showVal val="0"/>
          <c:showCatName val="0"/>
          <c:showSerName val="0"/>
          <c:showPercent val="0"/>
          <c:showBubbleSize val="0"/>
        </c:dLbls>
        <c:smooth val="0"/>
        <c:axId val="339705368"/>
        <c:axId val="339703072"/>
      </c:lineChart>
      <c:catAx>
        <c:axId val="339705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9703072"/>
        <c:crosses val="autoZero"/>
        <c:auto val="1"/>
        <c:lblAlgn val="ctr"/>
        <c:lblOffset val="100"/>
        <c:noMultiLvlLbl val="0"/>
      </c:catAx>
      <c:valAx>
        <c:axId val="339703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million pkm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9705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Tabelle1!$A$58</c:f>
              <c:strCache>
                <c:ptCount val="1"/>
                <c:pt idx="0">
                  <c:v>with NAMA</c:v>
                </c:pt>
              </c:strCache>
            </c:strRef>
          </c:tx>
          <c:spPr>
            <a:ln w="28575" cap="rnd">
              <a:solidFill>
                <a:srgbClr val="92D050"/>
              </a:solidFill>
              <a:round/>
            </a:ln>
            <a:effectLst/>
          </c:spPr>
          <c:marker>
            <c:symbol val="none"/>
          </c:marker>
          <c:cat>
            <c:numRef>
              <c:f>Tabelle1!$B$57:$BG$57</c:f>
              <c:numCache>
                <c:formatCode>General</c:formatCode>
                <c:ptCount val="57"/>
                <c:pt idx="0">
                  <c:v>1974</c:v>
                </c:pt>
                <c:pt idx="1">
                  <c:v>1975</c:v>
                </c:pt>
                <c:pt idx="2">
                  <c:v>1976</c:v>
                </c:pt>
                <c:pt idx="3">
                  <c:v>1977</c:v>
                </c:pt>
                <c:pt idx="4">
                  <c:v>1978</c:v>
                </c:pt>
                <c:pt idx="5">
                  <c:v>1979</c:v>
                </c:pt>
                <c:pt idx="6">
                  <c:v>1980</c:v>
                </c:pt>
                <c:pt idx="7">
                  <c:v>1981</c:v>
                </c:pt>
                <c:pt idx="8">
                  <c:v>1982</c:v>
                </c:pt>
                <c:pt idx="9">
                  <c:v>1983</c:v>
                </c:pt>
                <c:pt idx="10">
                  <c:v>1984</c:v>
                </c:pt>
                <c:pt idx="11">
                  <c:v>1985</c:v>
                </c:pt>
                <c:pt idx="12">
                  <c:v>1986</c:v>
                </c:pt>
                <c:pt idx="13">
                  <c:v>1987</c:v>
                </c:pt>
                <c:pt idx="14">
                  <c:v>1988</c:v>
                </c:pt>
                <c:pt idx="15">
                  <c:v>1989</c:v>
                </c:pt>
                <c:pt idx="16">
                  <c:v>1990</c:v>
                </c:pt>
                <c:pt idx="17">
                  <c:v>1991</c:v>
                </c:pt>
                <c:pt idx="18">
                  <c:v>1992</c:v>
                </c:pt>
                <c:pt idx="19">
                  <c:v>1993</c:v>
                </c:pt>
                <c:pt idx="20">
                  <c:v>1994</c:v>
                </c:pt>
                <c:pt idx="21">
                  <c:v>1995</c:v>
                </c:pt>
                <c:pt idx="22">
                  <c:v>1996</c:v>
                </c:pt>
                <c:pt idx="23">
                  <c:v>1997</c:v>
                </c:pt>
                <c:pt idx="24">
                  <c:v>1998</c:v>
                </c:pt>
                <c:pt idx="25">
                  <c:v>1999</c:v>
                </c:pt>
                <c:pt idx="26">
                  <c:v>2000</c:v>
                </c:pt>
                <c:pt idx="27">
                  <c:v>2001</c:v>
                </c:pt>
                <c:pt idx="28">
                  <c:v>2002</c:v>
                </c:pt>
                <c:pt idx="29">
                  <c:v>2003</c:v>
                </c:pt>
                <c:pt idx="30">
                  <c:v>2004</c:v>
                </c:pt>
                <c:pt idx="31">
                  <c:v>2005</c:v>
                </c:pt>
                <c:pt idx="32">
                  <c:v>2006</c:v>
                </c:pt>
                <c:pt idx="33">
                  <c:v>2007</c:v>
                </c:pt>
                <c:pt idx="34">
                  <c:v>2008</c:v>
                </c:pt>
                <c:pt idx="35">
                  <c:v>2009</c:v>
                </c:pt>
                <c:pt idx="36">
                  <c:v>2010</c:v>
                </c:pt>
                <c:pt idx="37">
                  <c:v>2011</c:v>
                </c:pt>
                <c:pt idx="38">
                  <c:v>2012</c:v>
                </c:pt>
                <c:pt idx="39">
                  <c:v>2013</c:v>
                </c:pt>
                <c:pt idx="40">
                  <c:v>2014</c:v>
                </c:pt>
                <c:pt idx="41">
                  <c:v>2015</c:v>
                </c:pt>
                <c:pt idx="42">
                  <c:v>2016</c:v>
                </c:pt>
                <c:pt idx="43">
                  <c:v>2017</c:v>
                </c:pt>
                <c:pt idx="44">
                  <c:v>2018</c:v>
                </c:pt>
                <c:pt idx="45">
                  <c:v>2019</c:v>
                </c:pt>
                <c:pt idx="46">
                  <c:v>2020</c:v>
                </c:pt>
                <c:pt idx="47">
                  <c:v>2021</c:v>
                </c:pt>
                <c:pt idx="48">
                  <c:v>2022</c:v>
                </c:pt>
                <c:pt idx="49">
                  <c:v>2023</c:v>
                </c:pt>
                <c:pt idx="50">
                  <c:v>2024</c:v>
                </c:pt>
                <c:pt idx="51">
                  <c:v>2025</c:v>
                </c:pt>
                <c:pt idx="52">
                  <c:v>2026</c:v>
                </c:pt>
                <c:pt idx="53">
                  <c:v>2027</c:v>
                </c:pt>
                <c:pt idx="54">
                  <c:v>2028</c:v>
                </c:pt>
                <c:pt idx="55">
                  <c:v>2029</c:v>
                </c:pt>
                <c:pt idx="56">
                  <c:v>2030</c:v>
                </c:pt>
              </c:numCache>
            </c:numRef>
          </c:cat>
          <c:val>
            <c:numRef>
              <c:f>Tabelle1!$B$58:$BG$58</c:f>
              <c:numCache>
                <c:formatCode>#,##0</c:formatCode>
                <c:ptCount val="57"/>
                <c:pt idx="0">
                  <c:v>623.20000000000005</c:v>
                </c:pt>
                <c:pt idx="1">
                  <c:v>717</c:v>
                </c:pt>
                <c:pt idx="2">
                  <c:v>712.4</c:v>
                </c:pt>
                <c:pt idx="3">
                  <c:v>786.1</c:v>
                </c:pt>
                <c:pt idx="4">
                  <c:v>838.5</c:v>
                </c:pt>
                <c:pt idx="5">
                  <c:v>854.7</c:v>
                </c:pt>
                <c:pt idx="6">
                  <c:v>786.6</c:v>
                </c:pt>
                <c:pt idx="7">
                  <c:v>844.5</c:v>
                </c:pt>
                <c:pt idx="8">
                  <c:v>814.5</c:v>
                </c:pt>
                <c:pt idx="9">
                  <c:v>778.6</c:v>
                </c:pt>
                <c:pt idx="10">
                  <c:v>812.9</c:v>
                </c:pt>
                <c:pt idx="11">
                  <c:v>612.20000000000005</c:v>
                </c:pt>
                <c:pt idx="12">
                  <c:v>502.59</c:v>
                </c:pt>
                <c:pt idx="13">
                  <c:v>678.27</c:v>
                </c:pt>
                <c:pt idx="14">
                  <c:v>665.94</c:v>
                </c:pt>
                <c:pt idx="15">
                  <c:v>643.48</c:v>
                </c:pt>
                <c:pt idx="16">
                  <c:v>650.99</c:v>
                </c:pt>
                <c:pt idx="17">
                  <c:v>718.39</c:v>
                </c:pt>
                <c:pt idx="18">
                  <c:v>641.44000000000005</c:v>
                </c:pt>
                <c:pt idx="19">
                  <c:v>640.80999999999995</c:v>
                </c:pt>
                <c:pt idx="20">
                  <c:v>759.78</c:v>
                </c:pt>
                <c:pt idx="21">
                  <c:v>689.02</c:v>
                </c:pt>
                <c:pt idx="22">
                  <c:v>782.43</c:v>
                </c:pt>
                <c:pt idx="23">
                  <c:v>803.85</c:v>
                </c:pt>
                <c:pt idx="24">
                  <c:v>896.4</c:v>
                </c:pt>
                <c:pt idx="25">
                  <c:v>777.16</c:v>
                </c:pt>
                <c:pt idx="26">
                  <c:v>907.88</c:v>
                </c:pt>
                <c:pt idx="27">
                  <c:v>951.82</c:v>
                </c:pt>
                <c:pt idx="28">
                  <c:v>951.99</c:v>
                </c:pt>
                <c:pt idx="29">
                  <c:v>895.5</c:v>
                </c:pt>
                <c:pt idx="30">
                  <c:v>816.82</c:v>
                </c:pt>
                <c:pt idx="31">
                  <c:v>820.49</c:v>
                </c:pt>
                <c:pt idx="32">
                  <c:v>775.58</c:v>
                </c:pt>
                <c:pt idx="33">
                  <c:v>869.59</c:v>
                </c:pt>
                <c:pt idx="34">
                  <c:v>800.16</c:v>
                </c:pt>
                <c:pt idx="35">
                  <c:v>710.06</c:v>
                </c:pt>
                <c:pt idx="36">
                  <c:v>692.64</c:v>
                </c:pt>
                <c:pt idx="37">
                  <c:v>582.11</c:v>
                </c:pt>
                <c:pt idx="38">
                  <c:v>525.37</c:v>
                </c:pt>
                <c:pt idx="39">
                  <c:v>677.36</c:v>
                </c:pt>
                <c:pt idx="40">
                  <c:v>640</c:v>
                </c:pt>
                <c:pt idx="41">
                  <c:v>640</c:v>
                </c:pt>
                <c:pt idx="42">
                  <c:v>640</c:v>
                </c:pt>
                <c:pt idx="43">
                  <c:v>685.76</c:v>
                </c:pt>
                <c:pt idx="44">
                  <c:v>734.79183999999987</c:v>
                </c:pt>
                <c:pt idx="45">
                  <c:v>787.32945655999981</c:v>
                </c:pt>
                <c:pt idx="46">
                  <c:v>843.62351270403974</c:v>
                </c:pt>
                <c:pt idx="47">
                  <c:v>890.02280590276189</c:v>
                </c:pt>
                <c:pt idx="48">
                  <c:v>938.9740602274137</c:v>
                </c:pt>
                <c:pt idx="49">
                  <c:v>990.61763353992137</c:v>
                </c:pt>
                <c:pt idx="50">
                  <c:v>1045.101603384617</c:v>
                </c:pt>
                <c:pt idx="51">
                  <c:v>1102.5821915707709</c:v>
                </c:pt>
                <c:pt idx="52">
                  <c:v>1163.2242121071631</c:v>
                </c:pt>
                <c:pt idx="53">
                  <c:v>1227.201543773057</c:v>
                </c:pt>
                <c:pt idx="54">
                  <c:v>1294.697628680575</c:v>
                </c:pt>
                <c:pt idx="55">
                  <c:v>1365.9059982580065</c:v>
                </c:pt>
                <c:pt idx="56">
                  <c:v>1441.0308281621967</c:v>
                </c:pt>
              </c:numCache>
            </c:numRef>
          </c:val>
          <c:smooth val="0"/>
          <c:extLst>
            <c:ext xmlns:c16="http://schemas.microsoft.com/office/drawing/2014/chart" uri="{C3380CC4-5D6E-409C-BE32-E72D297353CC}">
              <c16:uniqueId val="{00000000-A7A4-433B-9351-C48394F198C1}"/>
            </c:ext>
          </c:extLst>
        </c:ser>
        <c:ser>
          <c:idx val="1"/>
          <c:order val="1"/>
          <c:tx>
            <c:strRef>
              <c:f>Tabelle1!$A$59</c:f>
              <c:strCache>
                <c:ptCount val="1"/>
                <c:pt idx="0">
                  <c:v>BAU</c:v>
                </c:pt>
              </c:strCache>
            </c:strRef>
          </c:tx>
          <c:spPr>
            <a:ln w="28575" cap="rnd">
              <a:solidFill>
                <a:schemeClr val="accent2"/>
              </a:solidFill>
              <a:round/>
            </a:ln>
            <a:effectLst/>
          </c:spPr>
          <c:marker>
            <c:symbol val="none"/>
          </c:marker>
          <c:cat>
            <c:numRef>
              <c:f>Tabelle1!$B$57:$BG$57</c:f>
              <c:numCache>
                <c:formatCode>General</c:formatCode>
                <c:ptCount val="57"/>
                <c:pt idx="0">
                  <c:v>1974</c:v>
                </c:pt>
                <c:pt idx="1">
                  <c:v>1975</c:v>
                </c:pt>
                <c:pt idx="2">
                  <c:v>1976</c:v>
                </c:pt>
                <c:pt idx="3">
                  <c:v>1977</c:v>
                </c:pt>
                <c:pt idx="4">
                  <c:v>1978</c:v>
                </c:pt>
                <c:pt idx="5">
                  <c:v>1979</c:v>
                </c:pt>
                <c:pt idx="6">
                  <c:v>1980</c:v>
                </c:pt>
                <c:pt idx="7">
                  <c:v>1981</c:v>
                </c:pt>
                <c:pt idx="8">
                  <c:v>1982</c:v>
                </c:pt>
                <c:pt idx="9">
                  <c:v>1983</c:v>
                </c:pt>
                <c:pt idx="10">
                  <c:v>1984</c:v>
                </c:pt>
                <c:pt idx="11">
                  <c:v>1985</c:v>
                </c:pt>
                <c:pt idx="12">
                  <c:v>1986</c:v>
                </c:pt>
                <c:pt idx="13">
                  <c:v>1987</c:v>
                </c:pt>
                <c:pt idx="14">
                  <c:v>1988</c:v>
                </c:pt>
                <c:pt idx="15">
                  <c:v>1989</c:v>
                </c:pt>
                <c:pt idx="16">
                  <c:v>1990</c:v>
                </c:pt>
                <c:pt idx="17">
                  <c:v>1991</c:v>
                </c:pt>
                <c:pt idx="18">
                  <c:v>1992</c:v>
                </c:pt>
                <c:pt idx="19">
                  <c:v>1993</c:v>
                </c:pt>
                <c:pt idx="20">
                  <c:v>1994</c:v>
                </c:pt>
                <c:pt idx="21">
                  <c:v>1995</c:v>
                </c:pt>
                <c:pt idx="22">
                  <c:v>1996</c:v>
                </c:pt>
                <c:pt idx="23">
                  <c:v>1997</c:v>
                </c:pt>
                <c:pt idx="24">
                  <c:v>1998</c:v>
                </c:pt>
                <c:pt idx="25">
                  <c:v>1999</c:v>
                </c:pt>
                <c:pt idx="26">
                  <c:v>2000</c:v>
                </c:pt>
                <c:pt idx="27">
                  <c:v>2001</c:v>
                </c:pt>
                <c:pt idx="28">
                  <c:v>2002</c:v>
                </c:pt>
                <c:pt idx="29">
                  <c:v>2003</c:v>
                </c:pt>
                <c:pt idx="30">
                  <c:v>2004</c:v>
                </c:pt>
                <c:pt idx="31">
                  <c:v>2005</c:v>
                </c:pt>
                <c:pt idx="32">
                  <c:v>2006</c:v>
                </c:pt>
                <c:pt idx="33">
                  <c:v>2007</c:v>
                </c:pt>
                <c:pt idx="34">
                  <c:v>2008</c:v>
                </c:pt>
                <c:pt idx="35">
                  <c:v>2009</c:v>
                </c:pt>
                <c:pt idx="36">
                  <c:v>2010</c:v>
                </c:pt>
                <c:pt idx="37">
                  <c:v>2011</c:v>
                </c:pt>
                <c:pt idx="38">
                  <c:v>2012</c:v>
                </c:pt>
                <c:pt idx="39">
                  <c:v>2013</c:v>
                </c:pt>
                <c:pt idx="40">
                  <c:v>2014</c:v>
                </c:pt>
                <c:pt idx="41">
                  <c:v>2015</c:v>
                </c:pt>
                <c:pt idx="42">
                  <c:v>2016</c:v>
                </c:pt>
                <c:pt idx="43">
                  <c:v>2017</c:v>
                </c:pt>
                <c:pt idx="44">
                  <c:v>2018</c:v>
                </c:pt>
                <c:pt idx="45">
                  <c:v>2019</c:v>
                </c:pt>
                <c:pt idx="46">
                  <c:v>2020</c:v>
                </c:pt>
                <c:pt idx="47">
                  <c:v>2021</c:v>
                </c:pt>
                <c:pt idx="48">
                  <c:v>2022</c:v>
                </c:pt>
                <c:pt idx="49">
                  <c:v>2023</c:v>
                </c:pt>
                <c:pt idx="50">
                  <c:v>2024</c:v>
                </c:pt>
                <c:pt idx="51">
                  <c:v>2025</c:v>
                </c:pt>
                <c:pt idx="52">
                  <c:v>2026</c:v>
                </c:pt>
                <c:pt idx="53">
                  <c:v>2027</c:v>
                </c:pt>
                <c:pt idx="54">
                  <c:v>2028</c:v>
                </c:pt>
                <c:pt idx="55">
                  <c:v>2029</c:v>
                </c:pt>
                <c:pt idx="56">
                  <c:v>2030</c:v>
                </c:pt>
              </c:numCache>
            </c:numRef>
          </c:cat>
          <c:val>
            <c:numRef>
              <c:f>Tabelle1!$B$59:$BG$59</c:f>
              <c:numCache>
                <c:formatCode>#,##0</c:formatCode>
                <c:ptCount val="57"/>
                <c:pt idx="0">
                  <c:v>623.20000000000005</c:v>
                </c:pt>
                <c:pt idx="1">
                  <c:v>717</c:v>
                </c:pt>
                <c:pt idx="2">
                  <c:v>712.4</c:v>
                </c:pt>
                <c:pt idx="3">
                  <c:v>786.1</c:v>
                </c:pt>
                <c:pt idx="4">
                  <c:v>838.5</c:v>
                </c:pt>
                <c:pt idx="5">
                  <c:v>854.7</c:v>
                </c:pt>
                <c:pt idx="6">
                  <c:v>786.6</c:v>
                </c:pt>
                <c:pt idx="7">
                  <c:v>844.5</c:v>
                </c:pt>
                <c:pt idx="8">
                  <c:v>814.5</c:v>
                </c:pt>
                <c:pt idx="9">
                  <c:v>778.6</c:v>
                </c:pt>
                <c:pt idx="10">
                  <c:v>812.9</c:v>
                </c:pt>
                <c:pt idx="11">
                  <c:v>612.20000000000005</c:v>
                </c:pt>
                <c:pt idx="12">
                  <c:v>502.59</c:v>
                </c:pt>
                <c:pt idx="13">
                  <c:v>678.27</c:v>
                </c:pt>
                <c:pt idx="14">
                  <c:v>665.94</c:v>
                </c:pt>
                <c:pt idx="15">
                  <c:v>643.48</c:v>
                </c:pt>
                <c:pt idx="16">
                  <c:v>650.99</c:v>
                </c:pt>
                <c:pt idx="17">
                  <c:v>718.39</c:v>
                </c:pt>
                <c:pt idx="18">
                  <c:v>641.44000000000005</c:v>
                </c:pt>
                <c:pt idx="19">
                  <c:v>640.80999999999995</c:v>
                </c:pt>
                <c:pt idx="20">
                  <c:v>759.78</c:v>
                </c:pt>
                <c:pt idx="21">
                  <c:v>689.02</c:v>
                </c:pt>
                <c:pt idx="22">
                  <c:v>782.43</c:v>
                </c:pt>
                <c:pt idx="23">
                  <c:v>803.85</c:v>
                </c:pt>
                <c:pt idx="24">
                  <c:v>896.4</c:v>
                </c:pt>
                <c:pt idx="25">
                  <c:v>777.16</c:v>
                </c:pt>
                <c:pt idx="26">
                  <c:v>907.88</c:v>
                </c:pt>
                <c:pt idx="27">
                  <c:v>951.82</c:v>
                </c:pt>
                <c:pt idx="28">
                  <c:v>951.99</c:v>
                </c:pt>
                <c:pt idx="29">
                  <c:v>895.5</c:v>
                </c:pt>
                <c:pt idx="30">
                  <c:v>816.82</c:v>
                </c:pt>
                <c:pt idx="31">
                  <c:v>820.49</c:v>
                </c:pt>
                <c:pt idx="32">
                  <c:v>775.58</c:v>
                </c:pt>
                <c:pt idx="33">
                  <c:v>869.59</c:v>
                </c:pt>
                <c:pt idx="34">
                  <c:v>800.16</c:v>
                </c:pt>
                <c:pt idx="35">
                  <c:v>710.06</c:v>
                </c:pt>
                <c:pt idx="36">
                  <c:v>692.64</c:v>
                </c:pt>
                <c:pt idx="37">
                  <c:v>582.11</c:v>
                </c:pt>
                <c:pt idx="38">
                  <c:v>525.37</c:v>
                </c:pt>
                <c:pt idx="39">
                  <c:v>677.36</c:v>
                </c:pt>
                <c:pt idx="40">
                  <c:v>640</c:v>
                </c:pt>
                <c:pt idx="41">
                  <c:v>640</c:v>
                </c:pt>
                <c:pt idx="42">
                  <c:v>640</c:v>
                </c:pt>
                <c:pt idx="43">
                  <c:v>640</c:v>
                </c:pt>
                <c:pt idx="44">
                  <c:v>640</c:v>
                </c:pt>
                <c:pt idx="45">
                  <c:v>640</c:v>
                </c:pt>
                <c:pt idx="46">
                  <c:v>640</c:v>
                </c:pt>
                <c:pt idx="47">
                  <c:v>640</c:v>
                </c:pt>
                <c:pt idx="48">
                  <c:v>640</c:v>
                </c:pt>
                <c:pt idx="49">
                  <c:v>640</c:v>
                </c:pt>
                <c:pt idx="50">
                  <c:v>640</c:v>
                </c:pt>
                <c:pt idx="51">
                  <c:v>640</c:v>
                </c:pt>
                <c:pt idx="52">
                  <c:v>640</c:v>
                </c:pt>
                <c:pt idx="53">
                  <c:v>640</c:v>
                </c:pt>
                <c:pt idx="54">
                  <c:v>640</c:v>
                </c:pt>
                <c:pt idx="55">
                  <c:v>640</c:v>
                </c:pt>
                <c:pt idx="56">
                  <c:v>640</c:v>
                </c:pt>
              </c:numCache>
            </c:numRef>
          </c:val>
          <c:smooth val="0"/>
          <c:extLst>
            <c:ext xmlns:c16="http://schemas.microsoft.com/office/drawing/2014/chart" uri="{C3380CC4-5D6E-409C-BE32-E72D297353CC}">
              <c16:uniqueId val="{00000001-A7A4-433B-9351-C48394F198C1}"/>
            </c:ext>
          </c:extLst>
        </c:ser>
        <c:dLbls>
          <c:showLegendKey val="0"/>
          <c:showVal val="0"/>
          <c:showCatName val="0"/>
          <c:showSerName val="0"/>
          <c:showPercent val="0"/>
          <c:showBubbleSize val="0"/>
        </c:dLbls>
        <c:smooth val="0"/>
        <c:axId val="591156920"/>
        <c:axId val="591155936"/>
      </c:lineChart>
      <c:catAx>
        <c:axId val="591156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1155936"/>
        <c:crosses val="autoZero"/>
        <c:auto val="1"/>
        <c:lblAlgn val="ctr"/>
        <c:lblOffset val="100"/>
        <c:noMultiLvlLbl val="0"/>
      </c:catAx>
      <c:valAx>
        <c:axId val="5911559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million tkm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1156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'Results Base Year'!$A$9</c:f>
              <c:strCache>
                <c:ptCount val="1"/>
                <c:pt idx="0">
                  <c:v>Coach</c:v>
                </c:pt>
              </c:strCache>
            </c:strRef>
          </c:tx>
          <c:spPr>
            <a:solidFill>
              <a:srgbClr val="0070C0"/>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'Results Base Year'!$B$7</c:f>
              <c:strCache>
                <c:ptCount val="1"/>
                <c:pt idx="0">
                  <c:v>GHG TTW</c:v>
                </c:pt>
              </c:strCache>
            </c:strRef>
          </c:cat>
          <c:val>
            <c:numRef>
              <c:f>'Results Base Year'!$B$9</c:f>
              <c:numCache>
                <c:formatCode>0</c:formatCode>
                <c:ptCount val="1"/>
                <c:pt idx="0">
                  <c:v>36.136624874999995</c:v>
                </c:pt>
              </c:numCache>
            </c:numRef>
          </c:val>
          <c:extLst>
            <c:ext xmlns:c16="http://schemas.microsoft.com/office/drawing/2014/chart" uri="{C3380CC4-5D6E-409C-BE32-E72D297353CC}">
              <c16:uniqueId val="{00000000-C146-421A-AC7B-5C0B7588D691}"/>
            </c:ext>
          </c:extLst>
        </c:ser>
        <c:ser>
          <c:idx val="2"/>
          <c:order val="2"/>
          <c:tx>
            <c:strRef>
              <c:f>'Results Base Year'!$A$10</c:f>
              <c:strCache>
                <c:ptCount val="1"/>
                <c:pt idx="0">
                  <c:v>Train passenger</c:v>
                </c:pt>
              </c:strCache>
            </c:strRef>
          </c:tx>
          <c:spPr>
            <a:solidFill>
              <a:srgbClr val="00B050"/>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'Results Base Year'!$B$7</c:f>
              <c:strCache>
                <c:ptCount val="1"/>
                <c:pt idx="0">
                  <c:v>GHG TTW</c:v>
                </c:pt>
              </c:strCache>
            </c:strRef>
          </c:cat>
          <c:val>
            <c:numRef>
              <c:f>'Results Base Year'!$B$10</c:f>
              <c:numCache>
                <c:formatCode>0</c:formatCode>
                <c:ptCount val="1"/>
                <c:pt idx="0">
                  <c:v>12.484928435489795</c:v>
                </c:pt>
              </c:numCache>
            </c:numRef>
          </c:val>
          <c:extLst>
            <c:ext xmlns:c16="http://schemas.microsoft.com/office/drawing/2014/chart" uri="{C3380CC4-5D6E-409C-BE32-E72D297353CC}">
              <c16:uniqueId val="{00000001-C146-421A-AC7B-5C0B7588D691}"/>
            </c:ext>
          </c:extLst>
        </c:ser>
        <c:ser>
          <c:idx val="7"/>
          <c:order val="7"/>
          <c:tx>
            <c:strRef>
              <c:f>'Results Base Year'!$A$15</c:f>
              <c:strCache>
                <c:ptCount val="1"/>
                <c:pt idx="0">
                  <c:v>Truck</c:v>
                </c:pt>
              </c:strCache>
            </c:strRef>
          </c:tx>
          <c:spPr>
            <a:solidFill>
              <a:srgbClr val="FFC000"/>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'Results Base Year'!$B$7</c:f>
              <c:strCache>
                <c:ptCount val="1"/>
                <c:pt idx="0">
                  <c:v>GHG TTW</c:v>
                </c:pt>
              </c:strCache>
            </c:strRef>
          </c:cat>
          <c:val>
            <c:numRef>
              <c:f>'Results Base Year'!$B$15</c:f>
              <c:numCache>
                <c:formatCode>0</c:formatCode>
                <c:ptCount val="1"/>
                <c:pt idx="0">
                  <c:v>110.16152385542168</c:v>
                </c:pt>
              </c:numCache>
            </c:numRef>
          </c:val>
          <c:extLst>
            <c:ext xmlns:c16="http://schemas.microsoft.com/office/drawing/2014/chart" uri="{C3380CC4-5D6E-409C-BE32-E72D297353CC}">
              <c16:uniqueId val="{00000002-C146-421A-AC7B-5C0B7588D691}"/>
            </c:ext>
          </c:extLst>
        </c:ser>
        <c:ser>
          <c:idx val="8"/>
          <c:order val="8"/>
          <c:tx>
            <c:strRef>
              <c:f>'Results Base Year'!$A$16</c:f>
              <c:strCache>
                <c:ptCount val="1"/>
                <c:pt idx="0">
                  <c:v>Train freight</c:v>
                </c:pt>
              </c:strCache>
            </c:strRef>
          </c:tx>
          <c:spPr>
            <a:solidFill>
              <a:schemeClr val="accent6">
                <a:lumMod val="40000"/>
                <a:lumOff val="60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'Results Base Year'!$B$7</c:f>
              <c:strCache>
                <c:ptCount val="1"/>
                <c:pt idx="0">
                  <c:v>GHG TTW</c:v>
                </c:pt>
              </c:strCache>
            </c:strRef>
          </c:cat>
          <c:val>
            <c:numRef>
              <c:f>'Results Base Year'!$B$16</c:f>
              <c:numCache>
                <c:formatCode>0</c:formatCode>
                <c:ptCount val="1"/>
                <c:pt idx="0">
                  <c:v>14.308053997610108</c:v>
                </c:pt>
              </c:numCache>
            </c:numRef>
          </c:val>
          <c:extLst>
            <c:ext xmlns:c16="http://schemas.microsoft.com/office/drawing/2014/chart" uri="{C3380CC4-5D6E-409C-BE32-E72D297353CC}">
              <c16:uniqueId val="{00000003-C146-421A-AC7B-5C0B7588D691}"/>
            </c:ext>
          </c:extLst>
        </c:ser>
        <c:dLbls>
          <c:dLblPos val="inEnd"/>
          <c:showLegendKey val="0"/>
          <c:showVal val="1"/>
          <c:showCatName val="0"/>
          <c:showSerName val="0"/>
          <c:showPercent val="0"/>
          <c:showBubbleSize val="0"/>
        </c:dLbls>
        <c:gapWidth val="65"/>
        <c:axId val="518511712"/>
        <c:axId val="518513024"/>
        <c:extLst>
          <c:ext xmlns:c15="http://schemas.microsoft.com/office/drawing/2012/chart" uri="{02D57815-91ED-43cb-92C2-25804820EDAC}">
            <c15:filteredBarSeries>
              <c15:ser>
                <c:idx val="0"/>
                <c:order val="0"/>
                <c:tx>
                  <c:strRef>
                    <c:extLst>
                      <c:ext uri="{02D57815-91ED-43cb-92C2-25804820EDAC}">
                        <c15:formulaRef>
                          <c15:sqref>'Results Base Year'!$A$8</c15:sqref>
                        </c15:formulaRef>
                      </c:ext>
                    </c:extLst>
                    <c:strCache>
                      <c:ptCount val="1"/>
                      <c:pt idx="0">
                        <c:v>Passenger cars</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uri="{CE6537A1-D6FC-4f65-9D91-7224C49458BB}">
                      <c15:showLeaderLines val="1"/>
                      <c15:leaderLines>
                        <c:spPr>
                          <a:ln w="9525">
                            <a:solidFill>
                              <a:schemeClr val="dk1">
                                <a:lumMod val="50000"/>
                                <a:lumOff val="50000"/>
                              </a:schemeClr>
                            </a:solidFill>
                          </a:ln>
                          <a:effectLst/>
                        </c:spPr>
                      </c15:leaderLines>
                    </c:ext>
                  </c:extLst>
                </c:dLbls>
                <c:cat>
                  <c:strRef>
                    <c:extLst>
                      <c:ext uri="{02D57815-91ED-43cb-92C2-25804820EDAC}">
                        <c15:formulaRef>
                          <c15:sqref>'Results Base Year'!$B$7</c15:sqref>
                        </c15:formulaRef>
                      </c:ext>
                    </c:extLst>
                    <c:strCache>
                      <c:ptCount val="1"/>
                      <c:pt idx="0">
                        <c:v>GHG TTW</c:v>
                      </c:pt>
                    </c:strCache>
                  </c:strRef>
                </c:cat>
                <c:val>
                  <c:numRef>
                    <c:extLst>
                      <c:ext uri="{02D57815-91ED-43cb-92C2-25804820EDAC}">
                        <c15:formulaRef>
                          <c15:sqref>'Results Base Year'!$B$8</c15:sqref>
                        </c15:formulaRef>
                      </c:ext>
                    </c:extLst>
                    <c:numCache>
                      <c:formatCode>0</c:formatCode>
                      <c:ptCount val="1"/>
                      <c:pt idx="0">
                        <c:v>105.31771249999998</c:v>
                      </c:pt>
                    </c:numCache>
                  </c:numRef>
                </c:val>
                <c:extLst>
                  <c:ext xmlns:c16="http://schemas.microsoft.com/office/drawing/2014/chart" uri="{C3380CC4-5D6E-409C-BE32-E72D297353CC}">
                    <c16:uniqueId val="{00000004-C146-421A-AC7B-5C0B7588D691}"/>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'Results Base Year'!$A$11</c15:sqref>
                        </c15:formulaRef>
                      </c:ext>
                    </c:extLst>
                    <c:strCache>
                      <c:ptCount val="1"/>
                      <c:pt idx="0">
                        <c:v>BC train not registered</c:v>
                      </c:pt>
                    </c:strCache>
                  </c:strRef>
                </c:tx>
                <c:spPr>
                  <a:solidFill>
                    <a:schemeClr val="accent4">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extLst xmlns:c15="http://schemas.microsoft.com/office/drawing/2012/chart">
                      <c:ext xmlns:c15="http://schemas.microsoft.com/office/drawing/2012/chart" uri="{02D57815-91ED-43cb-92C2-25804820EDAC}">
                        <c15:formulaRef>
                          <c15:sqref>'Results Base Year'!$B$7</c15:sqref>
                        </c15:formulaRef>
                      </c:ext>
                    </c:extLst>
                    <c:strCache>
                      <c:ptCount val="1"/>
                      <c:pt idx="0">
                        <c:v>GHG TTW</c:v>
                      </c:pt>
                    </c:strCache>
                  </c:strRef>
                </c:cat>
                <c:val>
                  <c:numRef>
                    <c:extLst xmlns:c15="http://schemas.microsoft.com/office/drawing/2012/chart">
                      <c:ext xmlns:c15="http://schemas.microsoft.com/office/drawing/2012/chart" uri="{02D57815-91ED-43cb-92C2-25804820EDAC}">
                        <c15:formulaRef>
                          <c15:sqref>'Results Base Year'!$B$11</c15:sqref>
                        </c15:formulaRef>
                      </c:ext>
                    </c:extLst>
                    <c:numCache>
                      <c:formatCode>0</c:formatCode>
                      <c:ptCount val="1"/>
                    </c:numCache>
                  </c:numRef>
                </c:val>
                <c:extLst xmlns:c15="http://schemas.microsoft.com/office/drawing/2012/chart">
                  <c:ext xmlns:c16="http://schemas.microsoft.com/office/drawing/2014/chart" uri="{C3380CC4-5D6E-409C-BE32-E72D297353CC}">
                    <c16:uniqueId val="{00000005-C146-421A-AC7B-5C0B7588D691}"/>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'Results Base Year'!$A$12</c15:sqref>
                        </c15:formulaRef>
                      </c:ext>
                    </c:extLst>
                    <c:strCache>
                      <c:ptCount val="1"/>
                    </c:strCache>
                  </c:strRef>
                </c:tx>
                <c:spPr>
                  <a:solidFill>
                    <a:schemeClr val="accent5">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extLst xmlns:c15="http://schemas.microsoft.com/office/drawing/2012/chart">
                      <c:ext xmlns:c15="http://schemas.microsoft.com/office/drawing/2012/chart" uri="{02D57815-91ED-43cb-92C2-25804820EDAC}">
                        <c15:formulaRef>
                          <c15:sqref>'Results Base Year'!$B$7</c15:sqref>
                        </c15:formulaRef>
                      </c:ext>
                    </c:extLst>
                    <c:strCache>
                      <c:ptCount val="1"/>
                      <c:pt idx="0">
                        <c:v>GHG TTW</c:v>
                      </c:pt>
                    </c:strCache>
                  </c:strRef>
                </c:cat>
                <c:val>
                  <c:numRef>
                    <c:extLst xmlns:c15="http://schemas.microsoft.com/office/drawing/2012/chart">
                      <c:ext xmlns:c15="http://schemas.microsoft.com/office/drawing/2012/chart" uri="{02D57815-91ED-43cb-92C2-25804820EDAC}">
                        <c15:formulaRef>
                          <c15:sqref>'Results Base Year'!$B$12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6-C146-421A-AC7B-5C0B7588D691}"/>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'Results Base Year'!$A$13</c15:sqref>
                        </c15:formulaRef>
                      </c:ext>
                    </c:extLst>
                    <c:strCache>
                      <c:ptCount val="1"/>
                      <c:pt idx="0">
                        <c:v>Freight transport in gCO2e/tkm</c:v>
                      </c:pt>
                    </c:strCache>
                  </c:strRef>
                </c:tx>
                <c:spPr>
                  <a:solidFill>
                    <a:schemeClr val="accent6">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extLst xmlns:c15="http://schemas.microsoft.com/office/drawing/2012/chart">
                      <c:ext xmlns:c15="http://schemas.microsoft.com/office/drawing/2012/chart" uri="{02D57815-91ED-43cb-92C2-25804820EDAC}">
                        <c15:formulaRef>
                          <c15:sqref>'Results Base Year'!$B$7</c15:sqref>
                        </c15:formulaRef>
                      </c:ext>
                    </c:extLst>
                    <c:strCache>
                      <c:ptCount val="1"/>
                      <c:pt idx="0">
                        <c:v>GHG TTW</c:v>
                      </c:pt>
                    </c:strCache>
                  </c:strRef>
                </c:cat>
                <c:val>
                  <c:numRef>
                    <c:extLst xmlns:c15="http://schemas.microsoft.com/office/drawing/2012/chart">
                      <c:ext xmlns:c15="http://schemas.microsoft.com/office/drawing/2012/chart" uri="{02D57815-91ED-43cb-92C2-25804820EDAC}">
                        <c15:formulaRef>
                          <c15:sqref>'Results Base Year'!$B$13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7-C146-421A-AC7B-5C0B7588D691}"/>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'Results Base Year'!$A$14</c15:sqref>
                        </c15:formulaRef>
                      </c:ext>
                    </c:extLst>
                    <c:strCache>
                      <c:ptCount val="1"/>
                      <c:pt idx="0">
                        <c:v>Mode</c:v>
                      </c:pt>
                    </c:strCache>
                  </c:strRef>
                </c:tx>
                <c:spPr>
                  <a:solidFill>
                    <a:schemeClr val="accent1">
                      <a:lumMod val="6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extLst xmlns:c15="http://schemas.microsoft.com/office/drawing/2012/chart">
                      <c:ext xmlns:c15="http://schemas.microsoft.com/office/drawing/2012/chart" uri="{02D57815-91ED-43cb-92C2-25804820EDAC}">
                        <c15:formulaRef>
                          <c15:sqref>'Results Base Year'!$B$7</c15:sqref>
                        </c15:formulaRef>
                      </c:ext>
                    </c:extLst>
                    <c:strCache>
                      <c:ptCount val="1"/>
                      <c:pt idx="0">
                        <c:v>GHG TTW</c:v>
                      </c:pt>
                    </c:strCache>
                  </c:strRef>
                </c:cat>
                <c:val>
                  <c:numRef>
                    <c:extLst xmlns:c15="http://schemas.microsoft.com/office/drawing/2012/chart">
                      <c:ext xmlns:c15="http://schemas.microsoft.com/office/drawing/2012/chart" uri="{02D57815-91ED-43cb-92C2-25804820EDAC}">
                        <c15:formulaRef>
                          <c15:sqref>'Results Base Year'!$B$14</c15:sqref>
                        </c15:formulaRef>
                      </c:ext>
                    </c:extLst>
                    <c:numCache>
                      <c:formatCode>General</c:formatCode>
                      <c:ptCount val="1"/>
                      <c:pt idx="0">
                        <c:v>0</c:v>
                      </c:pt>
                    </c:numCache>
                  </c:numRef>
                </c:val>
                <c:extLst xmlns:c15="http://schemas.microsoft.com/office/drawing/2012/chart">
                  <c:ext xmlns:c16="http://schemas.microsoft.com/office/drawing/2014/chart" uri="{C3380CC4-5D6E-409C-BE32-E72D297353CC}">
                    <c16:uniqueId val="{00000008-C146-421A-AC7B-5C0B7588D691}"/>
                  </c:ext>
                </c:extLst>
              </c15:ser>
            </c15:filteredBarSeries>
          </c:ext>
        </c:extLst>
      </c:barChart>
      <c:catAx>
        <c:axId val="518511712"/>
        <c:scaling>
          <c:orientation val="minMax"/>
        </c:scaling>
        <c:delete val="1"/>
        <c:axPos val="b"/>
        <c:numFmt formatCode="General" sourceLinked="1"/>
        <c:majorTickMark val="none"/>
        <c:minorTickMark val="none"/>
        <c:tickLblPos val="nextTo"/>
        <c:crossAx val="518513024"/>
        <c:crosses val="autoZero"/>
        <c:auto val="1"/>
        <c:lblAlgn val="ctr"/>
        <c:lblOffset val="100"/>
        <c:noMultiLvlLbl val="0"/>
      </c:catAx>
      <c:valAx>
        <c:axId val="51851302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n-US"/>
                  <a:t>gCO2/pkm and gCO2/tkm</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en-US"/>
            </a:p>
          </c:txPr>
        </c:title>
        <c:numFmt formatCode="0" sourceLinked="1"/>
        <c:majorTickMark val="none"/>
        <c:minorTickMark val="none"/>
        <c:tickLblPos val="nextTo"/>
        <c:crossAx val="51851171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2"/>
          <c:order val="2"/>
          <c:tx>
            <c:strRef>
              <c:f>Mitigation!$A$23</c:f>
              <c:strCache>
                <c:ptCount val="1"/>
                <c:pt idx="0">
                  <c:v>Baseline emissions TTW</c:v>
                </c:pt>
              </c:strCache>
            </c:strRef>
          </c:tx>
          <c:spPr>
            <a:ln w="28575" cap="rnd">
              <a:solidFill>
                <a:schemeClr val="tx1"/>
              </a:solidFill>
              <a:round/>
            </a:ln>
            <a:effectLst/>
          </c:spPr>
          <c:marker>
            <c:symbol val="none"/>
          </c:marker>
          <c:cat>
            <c:strRef>
              <c:f>Mitigation!$C$20:$P$20</c:f>
              <c:strCach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strCache>
            </c:strRef>
          </c:cat>
          <c:val>
            <c:numRef>
              <c:f>Mitigation!$C$23:$P$23</c:f>
              <c:numCache>
                <c:formatCode>#,##0</c:formatCode>
                <c:ptCount val="14"/>
                <c:pt idx="0">
                  <c:v>133020.34376470497</c:v>
                </c:pt>
                <c:pt idx="1">
                  <c:v>157044.48146368246</c:v>
                </c:pt>
                <c:pt idx="2">
                  <c:v>182571.25264426038</c:v>
                </c:pt>
                <c:pt idx="3">
                  <c:v>209695.20081315879</c:v>
                </c:pt>
                <c:pt idx="4">
                  <c:v>235152.31819372097</c:v>
                </c:pt>
                <c:pt idx="5">
                  <c:v>262009.5770302141</c:v>
                </c:pt>
                <c:pt idx="6">
                  <c:v>290343.98510271433</c:v>
                </c:pt>
                <c:pt idx="7">
                  <c:v>320236.78561920207</c:v>
                </c:pt>
                <c:pt idx="8">
                  <c:v>351773.6901640966</c:v>
                </c:pt>
                <c:pt idx="9">
                  <c:v>385045.12445896037</c:v>
                </c:pt>
                <c:pt idx="10">
                  <c:v>420146.48764004163</c:v>
                </c:pt>
                <c:pt idx="11">
                  <c:v>457178.4257960823</c:v>
                </c:pt>
                <c:pt idx="12">
                  <c:v>496247.12055070529</c:v>
                </c:pt>
                <c:pt idx="13">
                  <c:v>537464.59351683257</c:v>
                </c:pt>
              </c:numCache>
            </c:numRef>
          </c:val>
          <c:smooth val="0"/>
          <c:extLst>
            <c:ext xmlns:c16="http://schemas.microsoft.com/office/drawing/2014/chart" uri="{C3380CC4-5D6E-409C-BE32-E72D297353CC}">
              <c16:uniqueId val="{00000000-183F-4E69-BBE3-3685C25A66DE}"/>
            </c:ext>
          </c:extLst>
        </c:ser>
        <c:ser>
          <c:idx val="4"/>
          <c:order val="4"/>
          <c:tx>
            <c:strRef>
              <c:f>Mitigation!$A$25</c:f>
              <c:strCache>
                <c:ptCount val="1"/>
                <c:pt idx="0">
                  <c:v>Baseline emissions WTW incl. BC</c:v>
                </c:pt>
              </c:strCache>
            </c:strRef>
          </c:tx>
          <c:spPr>
            <a:ln w="28575" cap="rnd">
              <a:solidFill>
                <a:schemeClr val="accent5"/>
              </a:solidFill>
              <a:round/>
            </a:ln>
            <a:effectLst/>
          </c:spPr>
          <c:marker>
            <c:symbol val="none"/>
          </c:marker>
          <c:cat>
            <c:strRef>
              <c:f>Mitigation!$C$20:$P$20</c:f>
              <c:strCach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strCache>
            </c:strRef>
          </c:cat>
          <c:val>
            <c:numRef>
              <c:f>Mitigation!$C$25:$P$25</c:f>
              <c:numCache>
                <c:formatCode>#,##0</c:formatCode>
                <c:ptCount val="14"/>
                <c:pt idx="0">
                  <c:v>170141.24960083413</c:v>
                </c:pt>
                <c:pt idx="1">
                  <c:v>204276.4851083415</c:v>
                </c:pt>
                <c:pt idx="2">
                  <c:v>240544.13396624572</c:v>
                </c:pt>
                <c:pt idx="3">
                  <c:v>279078.18378259632</c:v>
                </c:pt>
                <c:pt idx="4">
                  <c:v>315282.88456100191</c:v>
                </c:pt>
                <c:pt idx="5">
                  <c:v>353478.84388221987</c:v>
                </c:pt>
                <c:pt idx="6">
                  <c:v>393775.58096610475</c:v>
                </c:pt>
                <c:pt idx="7">
                  <c:v>436288.63858960336</c:v>
                </c:pt>
                <c:pt idx="8">
                  <c:v>481139.91438239429</c:v>
                </c:pt>
                <c:pt idx="9">
                  <c:v>528458.01034378877</c:v>
                </c:pt>
                <c:pt idx="10">
                  <c:v>578378.60158305999</c:v>
                </c:pt>
                <c:pt idx="11">
                  <c:v>631044.82534049114</c:v>
                </c:pt>
                <c:pt idx="12">
                  <c:v>686607.69140458095</c:v>
                </c:pt>
                <c:pt idx="13">
                  <c:v>745226.51510219579</c:v>
                </c:pt>
              </c:numCache>
            </c:numRef>
          </c:val>
          <c:smooth val="0"/>
          <c:extLst>
            <c:ext xmlns:c16="http://schemas.microsoft.com/office/drawing/2014/chart" uri="{C3380CC4-5D6E-409C-BE32-E72D297353CC}">
              <c16:uniqueId val="{00000001-183F-4E69-BBE3-3685C25A66DE}"/>
            </c:ext>
          </c:extLst>
        </c:ser>
        <c:ser>
          <c:idx val="5"/>
          <c:order val="5"/>
          <c:tx>
            <c:strRef>
              <c:f>Mitigation!$A$26</c:f>
              <c:strCache>
                <c:ptCount val="1"/>
                <c:pt idx="0">
                  <c:v>Rail GHG emissions TTW</c:v>
                </c:pt>
              </c:strCache>
            </c:strRef>
          </c:tx>
          <c:spPr>
            <a:ln w="28575" cap="rnd">
              <a:solidFill>
                <a:schemeClr val="accent4">
                  <a:lumMod val="40000"/>
                  <a:lumOff val="60000"/>
                </a:schemeClr>
              </a:solidFill>
              <a:round/>
            </a:ln>
            <a:effectLst/>
          </c:spPr>
          <c:marker>
            <c:symbol val="none"/>
          </c:marker>
          <c:cat>
            <c:strRef>
              <c:f>Mitigation!$C$20:$P$20</c:f>
              <c:strCach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strCache>
            </c:strRef>
          </c:cat>
          <c:val>
            <c:numRef>
              <c:f>Mitigation!$C$26:$P$26</c:f>
              <c:numCache>
                <c:formatCode>#,##0</c:formatCode>
                <c:ptCount val="14"/>
                <c:pt idx="0">
                  <c:v>117134.76425945209</c:v>
                </c:pt>
                <c:pt idx="1">
                  <c:v>124270.3207191198</c:v>
                </c:pt>
                <c:pt idx="2">
                  <c:v>131841.75669352003</c:v>
                </c:pt>
                <c:pt idx="3">
                  <c:v>139875.78251726672</c:v>
                </c:pt>
                <c:pt idx="4">
                  <c:v>147568.95055571638</c:v>
                </c:pt>
                <c:pt idx="5">
                  <c:v>155685.24283628078</c:v>
                </c:pt>
                <c:pt idx="6">
                  <c:v>164247.93119227621</c:v>
                </c:pt>
                <c:pt idx="7">
                  <c:v>173281.56740785137</c:v>
                </c:pt>
                <c:pt idx="8">
                  <c:v>182812.05361528319</c:v>
                </c:pt>
                <c:pt idx="9">
                  <c:v>192866.71656412375</c:v>
                </c:pt>
                <c:pt idx="10">
                  <c:v>203474.38597515057</c:v>
                </c:pt>
                <c:pt idx="11">
                  <c:v>214665.47720378381</c:v>
                </c:pt>
                <c:pt idx="12">
                  <c:v>226472.07844999191</c:v>
                </c:pt>
                <c:pt idx="13">
                  <c:v>238928.04276474149</c:v>
                </c:pt>
              </c:numCache>
            </c:numRef>
          </c:val>
          <c:smooth val="0"/>
          <c:extLst>
            <c:ext xmlns:c16="http://schemas.microsoft.com/office/drawing/2014/chart" uri="{C3380CC4-5D6E-409C-BE32-E72D297353CC}">
              <c16:uniqueId val="{00000002-183F-4E69-BBE3-3685C25A66DE}"/>
            </c:ext>
          </c:extLst>
        </c:ser>
        <c:ser>
          <c:idx val="7"/>
          <c:order val="7"/>
          <c:tx>
            <c:strRef>
              <c:f>Mitigation!$A$28</c:f>
              <c:strCache>
                <c:ptCount val="1"/>
                <c:pt idx="0">
                  <c:v>Rail GHG emissions WTW incl. BC</c:v>
                </c:pt>
              </c:strCache>
            </c:strRef>
          </c:tx>
          <c:spPr>
            <a:ln w="28575" cap="rnd">
              <a:solidFill>
                <a:schemeClr val="accent6"/>
              </a:solidFill>
              <a:round/>
            </a:ln>
            <a:effectLst/>
          </c:spPr>
          <c:marker>
            <c:symbol val="none"/>
          </c:marker>
          <c:cat>
            <c:strRef>
              <c:f>Mitigation!$C$20:$P$20</c:f>
              <c:strCach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strCache>
            </c:strRef>
          </c:cat>
          <c:val>
            <c:numRef>
              <c:f>Mitigation!$C$28:$P$28</c:f>
              <c:numCache>
                <c:formatCode>#,##0</c:formatCode>
                <c:ptCount val="14"/>
                <c:pt idx="0">
                  <c:v>146418.45532431509</c:v>
                </c:pt>
                <c:pt idx="1">
                  <c:v>155337.90089889977</c:v>
                </c:pt>
                <c:pt idx="2">
                  <c:v>164802.19586690003</c:v>
                </c:pt>
                <c:pt idx="3">
                  <c:v>174844.72814658339</c:v>
                </c:pt>
                <c:pt idx="4">
                  <c:v>184461.18819464545</c:v>
                </c:pt>
                <c:pt idx="5">
                  <c:v>194606.55354535097</c:v>
                </c:pt>
                <c:pt idx="6">
                  <c:v>205309.91399034526</c:v>
                </c:pt>
                <c:pt idx="7">
                  <c:v>216601.95925981423</c:v>
                </c:pt>
                <c:pt idx="8">
                  <c:v>228515.06701910397</c:v>
                </c:pt>
                <c:pt idx="9">
                  <c:v>241083.39570515469</c:v>
                </c:pt>
                <c:pt idx="10">
                  <c:v>254342.98246893819</c:v>
                </c:pt>
                <c:pt idx="11">
                  <c:v>268331.84650472977</c:v>
                </c:pt>
                <c:pt idx="12">
                  <c:v>283090.09806248988</c:v>
                </c:pt>
                <c:pt idx="13">
                  <c:v>298660.05345592683</c:v>
                </c:pt>
              </c:numCache>
            </c:numRef>
          </c:val>
          <c:smooth val="0"/>
          <c:extLst>
            <c:ext xmlns:c16="http://schemas.microsoft.com/office/drawing/2014/chart" uri="{C3380CC4-5D6E-409C-BE32-E72D297353CC}">
              <c16:uniqueId val="{00000003-183F-4E69-BBE3-3685C25A66DE}"/>
            </c:ext>
          </c:extLst>
        </c:ser>
        <c:dLbls>
          <c:showLegendKey val="0"/>
          <c:showVal val="0"/>
          <c:showCatName val="0"/>
          <c:showSerName val="0"/>
          <c:showPercent val="0"/>
          <c:showBubbleSize val="0"/>
        </c:dLbls>
        <c:smooth val="0"/>
        <c:axId val="513387192"/>
        <c:axId val="513387520"/>
        <c:extLst>
          <c:ext xmlns:c15="http://schemas.microsoft.com/office/drawing/2012/chart" uri="{02D57815-91ED-43cb-92C2-25804820EDAC}">
            <c15:filteredLineSeries>
              <c15:ser>
                <c:idx val="0"/>
                <c:order val="0"/>
                <c:tx>
                  <c:strRef>
                    <c:extLst>
                      <c:ext uri="{02D57815-91ED-43cb-92C2-25804820EDAC}">
                        <c15:formulaRef>
                          <c15:sqref>Mitigation!$A$21:$B$21</c15:sqref>
                        </c15:formulaRef>
                      </c:ext>
                    </c:extLst>
                    <c:strCache>
                      <c:ptCount val="2"/>
                      <c:pt idx="0">
                        <c:v>Rail passenger-km</c:v>
                      </c:pt>
                      <c:pt idx="1">
                        <c:v>Mpkm</c:v>
                      </c:pt>
                    </c:strCache>
                  </c:strRef>
                </c:tx>
                <c:spPr>
                  <a:ln w="28575" cap="rnd">
                    <a:solidFill>
                      <a:schemeClr val="accent1"/>
                    </a:solidFill>
                    <a:round/>
                  </a:ln>
                  <a:effectLst/>
                </c:spPr>
                <c:marker>
                  <c:symbol val="none"/>
                </c:marker>
                <c:cat>
                  <c:strRef>
                    <c:extLst>
                      <c:ext uri="{02D57815-91ED-43cb-92C2-25804820EDAC}">
                        <c15:formulaRef>
                          <c15:sqref>Mitigation!$C$20:$P$20</c15:sqref>
                        </c15:formulaRef>
                      </c:ext>
                    </c:extLst>
                    <c:strCach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strCache>
                  </c:strRef>
                </c:cat>
                <c:val>
                  <c:numRef>
                    <c:extLst>
                      <c:ext uri="{02D57815-91ED-43cb-92C2-25804820EDAC}">
                        <c15:formulaRef>
                          <c15:sqref>Mitigation!$C$21:$P$21</c15:sqref>
                        </c15:formulaRef>
                      </c:ext>
                    </c:extLst>
                    <c:numCache>
                      <c:formatCode>#,##0</c:formatCode>
                      <c:ptCount val="14"/>
                      <c:pt idx="0">
                        <c:v>8596.1944999999996</c:v>
                      </c:pt>
                      <c:pt idx="1">
                        <c:v>9111.5363602749985</c:v>
                      </c:pt>
                      <c:pt idx="2">
                        <c:v>9657.7729650734836</c:v>
                      </c:pt>
                      <c:pt idx="3">
                        <c:v>10236.756454329639</c:v>
                      </c:pt>
                      <c:pt idx="4">
                        <c:v>10799.778059317769</c:v>
                      </c:pt>
                      <c:pt idx="5">
                        <c:v>11393.765852580245</c:v>
                      </c:pt>
                      <c:pt idx="6">
                        <c:v>12020.422974472158</c:v>
                      </c:pt>
                      <c:pt idx="7">
                        <c:v>12681.546238068126</c:v>
                      </c:pt>
                      <c:pt idx="8">
                        <c:v>13379.031281161871</c:v>
                      </c:pt>
                      <c:pt idx="9">
                        <c:v>14114.878001625773</c:v>
                      </c:pt>
                      <c:pt idx="10">
                        <c:v>14891.19629171519</c:v>
                      </c:pt>
                      <c:pt idx="11">
                        <c:v>15710.212087759524</c:v>
                      </c:pt>
                      <c:pt idx="12">
                        <c:v>16574.273752586298</c:v>
                      </c:pt>
                      <c:pt idx="13">
                        <c:v>17485.858808978544</c:v>
                      </c:pt>
                    </c:numCache>
                  </c:numRef>
                </c:val>
                <c:smooth val="0"/>
                <c:extLst>
                  <c:ext xmlns:c16="http://schemas.microsoft.com/office/drawing/2014/chart" uri="{C3380CC4-5D6E-409C-BE32-E72D297353CC}">
                    <c16:uniqueId val="{00000004-183F-4E69-BBE3-3685C25A66DE}"/>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Mitigation!$A$22:$B$22</c15:sqref>
                        </c15:formulaRef>
                      </c:ext>
                    </c:extLst>
                    <c:strCache>
                      <c:ptCount val="2"/>
                      <c:pt idx="0">
                        <c:v>Rail ton-km</c:v>
                      </c:pt>
                      <c:pt idx="1">
                        <c:v>Mtkm</c:v>
                      </c:pt>
                    </c:strCache>
                  </c:strRef>
                </c:tx>
                <c:spPr>
                  <a:ln w="28575" cap="rnd">
                    <a:solidFill>
                      <a:schemeClr val="accent2"/>
                    </a:solidFill>
                    <a:round/>
                  </a:ln>
                  <a:effectLst/>
                </c:spPr>
                <c:marker>
                  <c:symbol val="none"/>
                </c:marker>
                <c:cat>
                  <c:strRef>
                    <c:extLst xmlns:c15="http://schemas.microsoft.com/office/drawing/2012/chart">
                      <c:ext xmlns:c15="http://schemas.microsoft.com/office/drawing/2012/chart" uri="{02D57815-91ED-43cb-92C2-25804820EDAC}">
                        <c15:formulaRef>
                          <c15:sqref>Mitigation!$C$20:$P$20</c15:sqref>
                        </c15:formulaRef>
                      </c:ext>
                    </c:extLst>
                    <c:strCach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strCache>
                  </c:strRef>
                </c:cat>
                <c:val>
                  <c:numRef>
                    <c:extLst xmlns:c15="http://schemas.microsoft.com/office/drawing/2012/chart">
                      <c:ext xmlns:c15="http://schemas.microsoft.com/office/drawing/2012/chart" uri="{02D57815-91ED-43cb-92C2-25804820EDAC}">
                        <c15:formulaRef>
                          <c15:sqref>Mitigation!$C$22:$P$22</c15:sqref>
                        </c15:formulaRef>
                      </c:ext>
                    </c:extLst>
                    <c:numCache>
                      <c:formatCode>#,##0</c:formatCode>
                      <c:ptCount val="14"/>
                      <c:pt idx="0">
                        <c:v>685.76</c:v>
                      </c:pt>
                      <c:pt idx="1">
                        <c:v>734.79183999999987</c:v>
                      </c:pt>
                      <c:pt idx="2">
                        <c:v>787.32945655999981</c:v>
                      </c:pt>
                      <c:pt idx="3">
                        <c:v>843.62351270403974</c:v>
                      </c:pt>
                      <c:pt idx="4">
                        <c:v>890.02280590276189</c:v>
                      </c:pt>
                      <c:pt idx="5">
                        <c:v>938.9740602274137</c:v>
                      </c:pt>
                      <c:pt idx="6">
                        <c:v>990.61763353992137</c:v>
                      </c:pt>
                      <c:pt idx="7">
                        <c:v>1045.101603384617</c:v>
                      </c:pt>
                      <c:pt idx="8">
                        <c:v>1102.5821915707709</c:v>
                      </c:pt>
                      <c:pt idx="9">
                        <c:v>1163.2242121071631</c:v>
                      </c:pt>
                      <c:pt idx="10">
                        <c:v>1227.201543773057</c:v>
                      </c:pt>
                      <c:pt idx="11">
                        <c:v>1294.697628680575</c:v>
                      </c:pt>
                      <c:pt idx="12">
                        <c:v>1365.9059982580065</c:v>
                      </c:pt>
                      <c:pt idx="13">
                        <c:v>1441.0308281621967</c:v>
                      </c:pt>
                    </c:numCache>
                  </c:numRef>
                </c:val>
                <c:smooth val="0"/>
                <c:extLst xmlns:c15="http://schemas.microsoft.com/office/drawing/2012/chart">
                  <c:ext xmlns:c16="http://schemas.microsoft.com/office/drawing/2014/chart" uri="{C3380CC4-5D6E-409C-BE32-E72D297353CC}">
                    <c16:uniqueId val="{00000005-183F-4E69-BBE3-3685C25A66DE}"/>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Mitigation!$A$24</c15:sqref>
                        </c15:formulaRef>
                      </c:ext>
                    </c:extLst>
                    <c:strCache>
                      <c:ptCount val="1"/>
                      <c:pt idx="0">
                        <c:v>Baseline emissions WTW</c:v>
                      </c:pt>
                    </c:strCache>
                  </c:strRef>
                </c:tx>
                <c:spPr>
                  <a:ln w="28575" cap="rnd">
                    <a:solidFill>
                      <a:schemeClr val="accent4"/>
                    </a:solidFill>
                    <a:round/>
                  </a:ln>
                  <a:effectLst/>
                </c:spPr>
                <c:marker>
                  <c:symbol val="none"/>
                </c:marker>
                <c:cat>
                  <c:strRef>
                    <c:extLst xmlns:c15="http://schemas.microsoft.com/office/drawing/2012/chart">
                      <c:ext xmlns:c15="http://schemas.microsoft.com/office/drawing/2012/chart" uri="{02D57815-91ED-43cb-92C2-25804820EDAC}">
                        <c15:formulaRef>
                          <c15:sqref>Mitigation!$C$20:$P$20</c15:sqref>
                        </c15:formulaRef>
                      </c:ext>
                    </c:extLst>
                    <c:strCach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strCache>
                  </c:strRef>
                </c:cat>
                <c:val>
                  <c:numRef>
                    <c:extLst xmlns:c15="http://schemas.microsoft.com/office/drawing/2012/chart">
                      <c:ext xmlns:c15="http://schemas.microsoft.com/office/drawing/2012/chart" uri="{02D57815-91ED-43cb-92C2-25804820EDAC}">
                        <c15:formulaRef>
                          <c15:sqref>Mitigation!$C$24:$P$24</c15:sqref>
                        </c15:formulaRef>
                      </c:ext>
                    </c:extLst>
                    <c:numCache>
                      <c:formatCode>#,##0</c:formatCode>
                      <c:ptCount val="14"/>
                      <c:pt idx="0">
                        <c:v>166275.42970588122</c:v>
                      </c:pt>
                      <c:pt idx="1">
                        <c:v>196305.60182960311</c:v>
                      </c:pt>
                      <c:pt idx="2">
                        <c:v>228214.06580532549</c:v>
                      </c:pt>
                      <c:pt idx="3">
                        <c:v>262119.00101644846</c:v>
                      </c:pt>
                      <c:pt idx="4">
                        <c:v>293940.39774215122</c:v>
                      </c:pt>
                      <c:pt idx="5">
                        <c:v>327511.97128776764</c:v>
                      </c:pt>
                      <c:pt idx="6">
                        <c:v>362929.9813783929</c:v>
                      </c:pt>
                      <c:pt idx="7">
                        <c:v>400295.98202400253</c:v>
                      </c:pt>
                      <c:pt idx="8">
                        <c:v>439717.11270512076</c:v>
                      </c:pt>
                      <c:pt idx="9">
                        <c:v>481306.40557370044</c:v>
                      </c:pt>
                      <c:pt idx="10">
                        <c:v>525183.10955005197</c:v>
                      </c:pt>
                      <c:pt idx="11">
                        <c:v>571473.03224510304</c:v>
                      </c:pt>
                      <c:pt idx="12">
                        <c:v>620308.90068838163</c:v>
                      </c:pt>
                      <c:pt idx="13">
                        <c:v>671830.74189604074</c:v>
                      </c:pt>
                    </c:numCache>
                  </c:numRef>
                </c:val>
                <c:smooth val="0"/>
                <c:extLst xmlns:c15="http://schemas.microsoft.com/office/drawing/2012/chart">
                  <c:ext xmlns:c16="http://schemas.microsoft.com/office/drawing/2014/chart" uri="{C3380CC4-5D6E-409C-BE32-E72D297353CC}">
                    <c16:uniqueId val="{00000006-183F-4E69-BBE3-3685C25A66DE}"/>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Mitigation!$A$27</c15:sqref>
                        </c15:formulaRef>
                      </c:ext>
                    </c:extLst>
                    <c:strCache>
                      <c:ptCount val="1"/>
                      <c:pt idx="0">
                        <c:v>Rail GHG emissions WTW</c:v>
                      </c:pt>
                    </c:strCache>
                  </c:strRef>
                </c:tx>
                <c:spPr>
                  <a:ln w="28575" cap="rnd">
                    <a:solidFill>
                      <a:schemeClr val="accent1">
                        <a:lumMod val="60000"/>
                      </a:schemeClr>
                    </a:solidFill>
                    <a:round/>
                  </a:ln>
                  <a:effectLst/>
                </c:spPr>
                <c:marker>
                  <c:symbol val="none"/>
                </c:marker>
                <c:cat>
                  <c:strRef>
                    <c:extLst xmlns:c15="http://schemas.microsoft.com/office/drawing/2012/chart">
                      <c:ext xmlns:c15="http://schemas.microsoft.com/office/drawing/2012/chart" uri="{02D57815-91ED-43cb-92C2-25804820EDAC}">
                        <c15:formulaRef>
                          <c15:sqref>Mitigation!$C$20:$P$20</c15:sqref>
                        </c15:formulaRef>
                      </c:ext>
                    </c:extLst>
                    <c:strCach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strCache>
                  </c:strRef>
                </c:cat>
                <c:val>
                  <c:numRef>
                    <c:extLst xmlns:c15="http://schemas.microsoft.com/office/drawing/2012/chart">
                      <c:ext xmlns:c15="http://schemas.microsoft.com/office/drawing/2012/chart" uri="{02D57815-91ED-43cb-92C2-25804820EDAC}">
                        <c15:formulaRef>
                          <c15:sqref>Mitigation!$C$27:$P$27</c15:sqref>
                        </c15:formulaRef>
                      </c:ext>
                    </c:extLst>
                    <c:numCache>
                      <c:formatCode>#,##0</c:formatCode>
                      <c:ptCount val="14"/>
                      <c:pt idx="0">
                        <c:v>146418.45532431509</c:v>
                      </c:pt>
                      <c:pt idx="1">
                        <c:v>155337.90089889977</c:v>
                      </c:pt>
                      <c:pt idx="2">
                        <c:v>164802.19586690003</c:v>
                      </c:pt>
                      <c:pt idx="3">
                        <c:v>174844.72814658339</c:v>
                      </c:pt>
                      <c:pt idx="4">
                        <c:v>184461.18819464545</c:v>
                      </c:pt>
                      <c:pt idx="5">
                        <c:v>194606.55354535097</c:v>
                      </c:pt>
                      <c:pt idx="6">
                        <c:v>205309.91399034526</c:v>
                      </c:pt>
                      <c:pt idx="7">
                        <c:v>216601.95925981423</c:v>
                      </c:pt>
                      <c:pt idx="8">
                        <c:v>228515.06701910397</c:v>
                      </c:pt>
                      <c:pt idx="9">
                        <c:v>241083.39570515469</c:v>
                      </c:pt>
                      <c:pt idx="10">
                        <c:v>254342.98246893819</c:v>
                      </c:pt>
                      <c:pt idx="11">
                        <c:v>268331.84650472977</c:v>
                      </c:pt>
                      <c:pt idx="12">
                        <c:v>283090.09806248988</c:v>
                      </c:pt>
                      <c:pt idx="13">
                        <c:v>298660.05345592683</c:v>
                      </c:pt>
                    </c:numCache>
                  </c:numRef>
                </c:val>
                <c:smooth val="0"/>
                <c:extLst xmlns:c15="http://schemas.microsoft.com/office/drawing/2012/chart">
                  <c:ext xmlns:c16="http://schemas.microsoft.com/office/drawing/2014/chart" uri="{C3380CC4-5D6E-409C-BE32-E72D297353CC}">
                    <c16:uniqueId val="{00000007-183F-4E69-BBE3-3685C25A66DE}"/>
                  </c:ext>
                </c:extLst>
              </c15:ser>
            </c15:filteredLineSeries>
          </c:ext>
        </c:extLst>
      </c:lineChart>
      <c:catAx>
        <c:axId val="513387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3387520"/>
        <c:crosses val="autoZero"/>
        <c:auto val="1"/>
        <c:lblAlgn val="ctr"/>
        <c:lblOffset val="100"/>
        <c:noMultiLvlLbl val="0"/>
      </c:catAx>
      <c:valAx>
        <c:axId val="5133875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tCO2e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3387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F833AD9-EC67-4539-A521-CC9DCB85B3A0}" type="doc">
      <dgm:prSet loTypeId="urn:microsoft.com/office/officeart/2011/layout/TabList#3" loCatId="list" qsTypeId="urn:microsoft.com/office/officeart/2005/8/quickstyle/simple1" qsCatId="simple" csTypeId="urn:microsoft.com/office/officeart/2005/8/colors/accent1_2" csCatId="accent1" phldr="1"/>
      <dgm:spPr/>
      <dgm:t>
        <a:bodyPr/>
        <a:lstStyle/>
        <a:p>
          <a:endParaRPr lang="de-DE"/>
        </a:p>
      </dgm:t>
    </dgm:pt>
    <dgm:pt modelId="{07F4A780-6EA8-4414-B3ED-3446F515E742}">
      <dgm:prSet phldrT="[Text]"/>
      <dgm:spPr/>
      <dgm:t>
        <a:bodyPr/>
        <a:lstStyle/>
        <a:p>
          <a:r>
            <a:rPr lang="de-DE"/>
            <a:t>Step 1</a:t>
          </a:r>
        </a:p>
      </dgm:t>
    </dgm:pt>
    <dgm:pt modelId="{8D087AE9-AD78-4A2C-A1FB-70F809B60078}" type="parTrans" cxnId="{008A8A98-32D2-4D50-B2B5-94E0C64826C1}">
      <dgm:prSet/>
      <dgm:spPr/>
      <dgm:t>
        <a:bodyPr/>
        <a:lstStyle/>
        <a:p>
          <a:endParaRPr lang="de-DE"/>
        </a:p>
      </dgm:t>
    </dgm:pt>
    <dgm:pt modelId="{DF69AB99-8697-4323-8BDB-2251C51369ED}" type="sibTrans" cxnId="{008A8A98-32D2-4D50-B2B5-94E0C64826C1}">
      <dgm:prSet/>
      <dgm:spPr/>
      <dgm:t>
        <a:bodyPr/>
        <a:lstStyle/>
        <a:p>
          <a:endParaRPr lang="de-DE"/>
        </a:p>
      </dgm:t>
    </dgm:pt>
    <dgm:pt modelId="{17FC88C6-F8B5-4136-A59A-D45038361470}">
      <dgm:prSet phldrT="[Text]"/>
      <dgm:spPr/>
      <dgm:t>
        <a:bodyPr/>
        <a:lstStyle/>
        <a:p>
          <a:r>
            <a:rPr lang="de-DE"/>
            <a:t>Activity Level</a:t>
          </a:r>
        </a:p>
      </dgm:t>
    </dgm:pt>
    <dgm:pt modelId="{5084EA0B-FA96-4943-ACA4-E266271EEF76}" type="parTrans" cxnId="{A1CAA446-1371-4D43-A001-2F84CE64EB35}">
      <dgm:prSet/>
      <dgm:spPr/>
      <dgm:t>
        <a:bodyPr/>
        <a:lstStyle/>
        <a:p>
          <a:endParaRPr lang="de-DE"/>
        </a:p>
      </dgm:t>
    </dgm:pt>
    <dgm:pt modelId="{FDF33E61-22FF-4649-909D-B94D7074CA2C}" type="sibTrans" cxnId="{A1CAA446-1371-4D43-A001-2F84CE64EB35}">
      <dgm:prSet/>
      <dgm:spPr/>
      <dgm:t>
        <a:bodyPr/>
        <a:lstStyle/>
        <a:p>
          <a:endParaRPr lang="de-DE"/>
        </a:p>
      </dgm:t>
    </dgm:pt>
    <dgm:pt modelId="{2BEC0B8D-B90C-468B-AA69-7690BAD84E1B}">
      <dgm:prSet phldrT="[Text]" custT="1"/>
      <dgm:spPr/>
      <dgm:t>
        <a:bodyPr/>
        <a:lstStyle/>
        <a:p>
          <a:r>
            <a:rPr lang="de-DE" sz="1050"/>
            <a:t> BAU pkm and tkm rail is determined</a:t>
          </a:r>
        </a:p>
      </dgm:t>
    </dgm:pt>
    <dgm:pt modelId="{8D49ABB5-076C-4E74-8CF8-DEE74CCB7A5E}" type="parTrans" cxnId="{371D8B72-20AD-496C-9077-1AE50D287787}">
      <dgm:prSet/>
      <dgm:spPr/>
      <dgm:t>
        <a:bodyPr/>
        <a:lstStyle/>
        <a:p>
          <a:endParaRPr lang="de-DE"/>
        </a:p>
      </dgm:t>
    </dgm:pt>
    <dgm:pt modelId="{7BDB0D5B-C544-42D1-9225-587B347775DC}" type="sibTrans" cxnId="{371D8B72-20AD-496C-9077-1AE50D287787}">
      <dgm:prSet/>
      <dgm:spPr/>
      <dgm:t>
        <a:bodyPr/>
        <a:lstStyle/>
        <a:p>
          <a:endParaRPr lang="de-DE"/>
        </a:p>
      </dgm:t>
    </dgm:pt>
    <dgm:pt modelId="{68F27E25-69DE-41D2-964C-E4F9E1B18E65}">
      <dgm:prSet phldrT="[Text]"/>
      <dgm:spPr/>
      <dgm:t>
        <a:bodyPr/>
        <a:lstStyle/>
        <a:p>
          <a:r>
            <a:rPr lang="de-DE"/>
            <a:t>Step 2</a:t>
          </a:r>
        </a:p>
      </dgm:t>
    </dgm:pt>
    <dgm:pt modelId="{652C4871-D190-4FA0-AA57-47CCC8966B77}" type="parTrans" cxnId="{8C8F1655-5CB6-40DD-987B-C557381490FB}">
      <dgm:prSet/>
      <dgm:spPr/>
      <dgm:t>
        <a:bodyPr/>
        <a:lstStyle/>
        <a:p>
          <a:endParaRPr lang="de-DE"/>
        </a:p>
      </dgm:t>
    </dgm:pt>
    <dgm:pt modelId="{1D618773-327A-4C14-BAD5-3CD2D5B5503B}" type="sibTrans" cxnId="{8C8F1655-5CB6-40DD-987B-C557381490FB}">
      <dgm:prSet/>
      <dgm:spPr/>
      <dgm:t>
        <a:bodyPr/>
        <a:lstStyle/>
        <a:p>
          <a:endParaRPr lang="de-DE"/>
        </a:p>
      </dgm:t>
    </dgm:pt>
    <dgm:pt modelId="{81744DE1-A451-43AD-BDFF-D0526C93A07C}">
      <dgm:prSet phldrT="[Text]"/>
      <dgm:spPr/>
      <dgm:t>
        <a:bodyPr/>
        <a:lstStyle/>
        <a:p>
          <a:r>
            <a:rPr lang="de-DE"/>
            <a:t>Mode Share Baseline</a:t>
          </a:r>
        </a:p>
      </dgm:t>
    </dgm:pt>
    <dgm:pt modelId="{181AE05C-7682-4DD4-88B6-BB4D37663B58}" type="parTrans" cxnId="{ADC25819-BBB3-4144-83D9-81E34885027D}">
      <dgm:prSet/>
      <dgm:spPr/>
      <dgm:t>
        <a:bodyPr/>
        <a:lstStyle/>
        <a:p>
          <a:endParaRPr lang="de-DE"/>
        </a:p>
      </dgm:t>
    </dgm:pt>
    <dgm:pt modelId="{C918C1F5-204B-4D96-A1BD-78B49623D5A6}" type="sibTrans" cxnId="{ADC25819-BBB3-4144-83D9-81E34885027D}">
      <dgm:prSet/>
      <dgm:spPr/>
      <dgm:t>
        <a:bodyPr/>
        <a:lstStyle/>
        <a:p>
          <a:endParaRPr lang="de-DE"/>
        </a:p>
      </dgm:t>
    </dgm:pt>
    <dgm:pt modelId="{852D47A6-09C3-4E5E-83A4-ED3476DED188}">
      <dgm:prSet phldrT="[Text]" custT="1"/>
      <dgm:spPr/>
      <dgm:t>
        <a:bodyPr/>
        <a:lstStyle/>
        <a:p>
          <a:r>
            <a:rPr lang="de-DE" sz="1100"/>
            <a:t> </a:t>
          </a:r>
          <a:r>
            <a:rPr lang="de-DE" sz="1050"/>
            <a:t>The mode share of the baseline is equivalent to the mode rail passengers / freight would have used in absence of rail. The mode shift is only applied to the additional rail activity level (NAMA minus BAU pkm and tkm).</a:t>
          </a:r>
        </a:p>
      </dgm:t>
    </dgm:pt>
    <dgm:pt modelId="{C2EFAD94-2D23-4BFA-B7C4-4E235A1261AD}" type="parTrans" cxnId="{10B3546A-C66A-42EB-AAA8-28B3C941EB28}">
      <dgm:prSet/>
      <dgm:spPr/>
      <dgm:t>
        <a:bodyPr/>
        <a:lstStyle/>
        <a:p>
          <a:endParaRPr lang="de-DE"/>
        </a:p>
      </dgm:t>
    </dgm:pt>
    <dgm:pt modelId="{CBC82438-F0E5-40AC-9E2C-1851135327ED}" type="sibTrans" cxnId="{10B3546A-C66A-42EB-AAA8-28B3C941EB28}">
      <dgm:prSet/>
      <dgm:spPr/>
      <dgm:t>
        <a:bodyPr/>
        <a:lstStyle/>
        <a:p>
          <a:endParaRPr lang="de-DE"/>
        </a:p>
      </dgm:t>
    </dgm:pt>
    <dgm:pt modelId="{33A42351-2446-41B0-805E-2EF7C49A63A8}">
      <dgm:prSet phldrT="[Text]"/>
      <dgm:spPr/>
      <dgm:t>
        <a:bodyPr/>
        <a:lstStyle/>
        <a:p>
          <a:r>
            <a:rPr lang="de-DE"/>
            <a:t>Step 3</a:t>
          </a:r>
        </a:p>
      </dgm:t>
    </dgm:pt>
    <dgm:pt modelId="{4FC4C1E8-0CD7-4EE9-9E19-CBCE96D62FF9}" type="parTrans" cxnId="{476D4E4A-81F3-4381-9DAC-F7189B92B31C}">
      <dgm:prSet/>
      <dgm:spPr/>
      <dgm:t>
        <a:bodyPr/>
        <a:lstStyle/>
        <a:p>
          <a:endParaRPr lang="de-DE"/>
        </a:p>
      </dgm:t>
    </dgm:pt>
    <dgm:pt modelId="{A10FFA73-C9B3-4617-88E9-285A7586BA40}" type="sibTrans" cxnId="{476D4E4A-81F3-4381-9DAC-F7189B92B31C}">
      <dgm:prSet/>
      <dgm:spPr/>
      <dgm:t>
        <a:bodyPr/>
        <a:lstStyle/>
        <a:p>
          <a:endParaRPr lang="de-DE"/>
        </a:p>
      </dgm:t>
    </dgm:pt>
    <dgm:pt modelId="{BF7D9BAB-8903-49F7-80BE-6DD0653169F3}">
      <dgm:prSet phldrT="[Text]"/>
      <dgm:spPr/>
      <dgm:t>
        <a:bodyPr/>
        <a:lstStyle/>
        <a:p>
          <a:r>
            <a:rPr lang="de-DE"/>
            <a:t>EF per Mode</a:t>
          </a:r>
        </a:p>
      </dgm:t>
    </dgm:pt>
    <dgm:pt modelId="{FE050C4C-F89F-4EA0-B760-31039B1A9656}" type="parTrans" cxnId="{D0D6C0E4-7585-47DE-BE62-340C6798122F}">
      <dgm:prSet/>
      <dgm:spPr/>
      <dgm:t>
        <a:bodyPr/>
        <a:lstStyle/>
        <a:p>
          <a:endParaRPr lang="de-DE"/>
        </a:p>
      </dgm:t>
    </dgm:pt>
    <dgm:pt modelId="{F3C9969B-362D-4464-AE5F-6BB3768178F0}" type="sibTrans" cxnId="{D0D6C0E4-7585-47DE-BE62-340C6798122F}">
      <dgm:prSet/>
      <dgm:spPr/>
      <dgm:t>
        <a:bodyPr/>
        <a:lstStyle/>
        <a:p>
          <a:endParaRPr lang="de-DE"/>
        </a:p>
      </dgm:t>
    </dgm:pt>
    <dgm:pt modelId="{B73BE295-6CFF-40A1-ACB9-DAE1C544BC65}">
      <dgm:prSet phldrT="[Text]" custT="1"/>
      <dgm:spPr/>
      <dgm:t>
        <a:bodyPr/>
        <a:lstStyle/>
        <a:p>
          <a:r>
            <a:rPr lang="de-DE" sz="1000"/>
            <a:t>For each baseline mode the EF per pkm and tkm is determined.</a:t>
          </a:r>
        </a:p>
      </dgm:t>
    </dgm:pt>
    <dgm:pt modelId="{6E666FC8-97BC-492C-9321-E13AAE25A7CC}" type="parTrans" cxnId="{B430EB1E-B12F-4F90-BC2E-A61B96E0CE61}">
      <dgm:prSet/>
      <dgm:spPr/>
      <dgm:t>
        <a:bodyPr/>
        <a:lstStyle/>
        <a:p>
          <a:endParaRPr lang="de-DE"/>
        </a:p>
      </dgm:t>
    </dgm:pt>
    <dgm:pt modelId="{85C1A162-F958-4297-BB98-EB83675A4CBD}" type="sibTrans" cxnId="{B430EB1E-B12F-4F90-BC2E-A61B96E0CE61}">
      <dgm:prSet/>
      <dgm:spPr/>
      <dgm:t>
        <a:bodyPr/>
        <a:lstStyle/>
        <a:p>
          <a:endParaRPr lang="de-DE"/>
        </a:p>
      </dgm:t>
    </dgm:pt>
    <dgm:pt modelId="{7F4B675E-AFA9-4A7A-8AB5-6E6451FD0BEE}">
      <dgm:prSet phldrT="[Text]" custT="1"/>
      <dgm:spPr/>
      <dgm:t>
        <a:bodyPr/>
        <a:lstStyle/>
        <a:p>
          <a:r>
            <a:rPr lang="de-DE" sz="1050"/>
            <a:t> The total baseline emissions are determined based on the rail activity level with the NAMA. Calculations require the BAU and the NAMA rail activity levels with the difference representing the mode shift. </a:t>
          </a:r>
        </a:p>
      </dgm:t>
    </dgm:pt>
    <dgm:pt modelId="{E95D0557-AE42-4476-8444-94519E7620E2}" type="parTrans" cxnId="{BD9590A7-7048-4FA1-8C4C-5C6B0D2A5E41}">
      <dgm:prSet/>
      <dgm:spPr/>
      <dgm:t>
        <a:bodyPr/>
        <a:lstStyle/>
        <a:p>
          <a:endParaRPr lang="de-DE"/>
        </a:p>
      </dgm:t>
    </dgm:pt>
    <dgm:pt modelId="{A2578978-490D-4D85-BA5C-49691873EC34}" type="sibTrans" cxnId="{BD9590A7-7048-4FA1-8C4C-5C6B0D2A5E41}">
      <dgm:prSet/>
      <dgm:spPr/>
      <dgm:t>
        <a:bodyPr/>
        <a:lstStyle/>
        <a:p>
          <a:endParaRPr lang="de-DE"/>
        </a:p>
      </dgm:t>
    </dgm:pt>
    <dgm:pt modelId="{983E7B25-64A2-4254-83B0-60C0A38C1D70}" type="pres">
      <dgm:prSet presAssocID="{4F833AD9-EC67-4539-A521-CC9DCB85B3A0}" presName="Name0" presStyleCnt="0">
        <dgm:presLayoutVars>
          <dgm:chMax/>
          <dgm:chPref val="3"/>
          <dgm:dir/>
          <dgm:animOne val="branch"/>
          <dgm:animLvl val="lvl"/>
        </dgm:presLayoutVars>
      </dgm:prSet>
      <dgm:spPr/>
    </dgm:pt>
    <dgm:pt modelId="{39ED6BFD-3736-4394-A4F3-CF1188106989}" type="pres">
      <dgm:prSet presAssocID="{07F4A780-6EA8-4414-B3ED-3446F515E742}" presName="composite" presStyleCnt="0"/>
      <dgm:spPr/>
    </dgm:pt>
    <dgm:pt modelId="{18E805A1-E96C-4981-85BB-707A3103D6C6}" type="pres">
      <dgm:prSet presAssocID="{07F4A780-6EA8-4414-B3ED-3446F515E742}" presName="FirstChild" presStyleLbl="revTx" presStyleIdx="0" presStyleCnt="6">
        <dgm:presLayoutVars>
          <dgm:chMax val="0"/>
          <dgm:chPref val="0"/>
          <dgm:bulletEnabled val="1"/>
        </dgm:presLayoutVars>
      </dgm:prSet>
      <dgm:spPr/>
    </dgm:pt>
    <dgm:pt modelId="{7C8AB827-3DA0-40DB-B0FC-66BF779471C5}" type="pres">
      <dgm:prSet presAssocID="{07F4A780-6EA8-4414-B3ED-3446F515E742}" presName="Parent" presStyleLbl="alignNode1" presStyleIdx="0" presStyleCnt="3">
        <dgm:presLayoutVars>
          <dgm:chMax val="3"/>
          <dgm:chPref val="3"/>
          <dgm:bulletEnabled val="1"/>
        </dgm:presLayoutVars>
      </dgm:prSet>
      <dgm:spPr/>
    </dgm:pt>
    <dgm:pt modelId="{28552451-7B0A-4269-80D2-F7DD3965654E}" type="pres">
      <dgm:prSet presAssocID="{07F4A780-6EA8-4414-B3ED-3446F515E742}" presName="Accent" presStyleLbl="parChTrans1D1" presStyleIdx="0" presStyleCnt="3"/>
      <dgm:spPr/>
    </dgm:pt>
    <dgm:pt modelId="{86EEA035-8973-4C11-ADA1-535C84138ECB}" type="pres">
      <dgm:prSet presAssocID="{07F4A780-6EA8-4414-B3ED-3446F515E742}" presName="Child" presStyleLbl="revTx" presStyleIdx="1" presStyleCnt="6">
        <dgm:presLayoutVars>
          <dgm:chMax val="0"/>
          <dgm:chPref val="0"/>
          <dgm:bulletEnabled val="1"/>
        </dgm:presLayoutVars>
      </dgm:prSet>
      <dgm:spPr/>
    </dgm:pt>
    <dgm:pt modelId="{B95C865B-9727-4CFC-9CC2-EB36B0464F9F}" type="pres">
      <dgm:prSet presAssocID="{DF69AB99-8697-4323-8BDB-2251C51369ED}" presName="sibTrans" presStyleCnt="0"/>
      <dgm:spPr/>
    </dgm:pt>
    <dgm:pt modelId="{D4973D2B-EA1E-46EA-9411-82A023D12B8F}" type="pres">
      <dgm:prSet presAssocID="{68F27E25-69DE-41D2-964C-E4F9E1B18E65}" presName="composite" presStyleCnt="0"/>
      <dgm:spPr/>
    </dgm:pt>
    <dgm:pt modelId="{E5E35D62-46C8-4076-A693-F29F6455D30D}" type="pres">
      <dgm:prSet presAssocID="{68F27E25-69DE-41D2-964C-E4F9E1B18E65}" presName="FirstChild" presStyleLbl="revTx" presStyleIdx="2" presStyleCnt="6">
        <dgm:presLayoutVars>
          <dgm:chMax val="0"/>
          <dgm:chPref val="0"/>
          <dgm:bulletEnabled val="1"/>
        </dgm:presLayoutVars>
      </dgm:prSet>
      <dgm:spPr/>
    </dgm:pt>
    <dgm:pt modelId="{E400BC4E-9B89-4F7A-A89B-CE6578902ACA}" type="pres">
      <dgm:prSet presAssocID="{68F27E25-69DE-41D2-964C-E4F9E1B18E65}" presName="Parent" presStyleLbl="alignNode1" presStyleIdx="1" presStyleCnt="3">
        <dgm:presLayoutVars>
          <dgm:chMax val="3"/>
          <dgm:chPref val="3"/>
          <dgm:bulletEnabled val="1"/>
        </dgm:presLayoutVars>
      </dgm:prSet>
      <dgm:spPr/>
    </dgm:pt>
    <dgm:pt modelId="{5B659AF9-D009-4F73-AD9A-0F1E2EA85B87}" type="pres">
      <dgm:prSet presAssocID="{68F27E25-69DE-41D2-964C-E4F9E1B18E65}" presName="Accent" presStyleLbl="parChTrans1D1" presStyleIdx="1" presStyleCnt="3"/>
      <dgm:spPr/>
    </dgm:pt>
    <dgm:pt modelId="{11B85752-E3C3-4973-951B-67DF0502F520}" type="pres">
      <dgm:prSet presAssocID="{68F27E25-69DE-41D2-964C-E4F9E1B18E65}" presName="Child" presStyleLbl="revTx" presStyleIdx="3" presStyleCnt="6" custScaleY="89501">
        <dgm:presLayoutVars>
          <dgm:chMax val="0"/>
          <dgm:chPref val="0"/>
          <dgm:bulletEnabled val="1"/>
        </dgm:presLayoutVars>
      </dgm:prSet>
      <dgm:spPr/>
    </dgm:pt>
    <dgm:pt modelId="{7525372F-559B-49EF-87BC-144CEFB9B6C3}" type="pres">
      <dgm:prSet presAssocID="{1D618773-327A-4C14-BAD5-3CD2D5B5503B}" presName="sibTrans" presStyleCnt="0"/>
      <dgm:spPr/>
    </dgm:pt>
    <dgm:pt modelId="{BFF4D2B3-AB0A-4D74-AB05-67C1D46997A4}" type="pres">
      <dgm:prSet presAssocID="{33A42351-2446-41B0-805E-2EF7C49A63A8}" presName="composite" presStyleCnt="0"/>
      <dgm:spPr/>
    </dgm:pt>
    <dgm:pt modelId="{9A89EC69-78EF-4754-96D4-22EE10F0D442}" type="pres">
      <dgm:prSet presAssocID="{33A42351-2446-41B0-805E-2EF7C49A63A8}" presName="FirstChild" presStyleLbl="revTx" presStyleIdx="4" presStyleCnt="6">
        <dgm:presLayoutVars>
          <dgm:chMax val="0"/>
          <dgm:chPref val="0"/>
          <dgm:bulletEnabled val="1"/>
        </dgm:presLayoutVars>
      </dgm:prSet>
      <dgm:spPr/>
    </dgm:pt>
    <dgm:pt modelId="{00C1C24C-9374-46D6-BCDA-E0A33912A049}" type="pres">
      <dgm:prSet presAssocID="{33A42351-2446-41B0-805E-2EF7C49A63A8}" presName="Parent" presStyleLbl="alignNode1" presStyleIdx="2" presStyleCnt="3">
        <dgm:presLayoutVars>
          <dgm:chMax val="3"/>
          <dgm:chPref val="3"/>
          <dgm:bulletEnabled val="1"/>
        </dgm:presLayoutVars>
      </dgm:prSet>
      <dgm:spPr/>
    </dgm:pt>
    <dgm:pt modelId="{A6754E67-6378-48A5-A6A0-9ACDD8CB8901}" type="pres">
      <dgm:prSet presAssocID="{33A42351-2446-41B0-805E-2EF7C49A63A8}" presName="Accent" presStyleLbl="parChTrans1D1" presStyleIdx="2" presStyleCnt="3"/>
      <dgm:spPr/>
    </dgm:pt>
    <dgm:pt modelId="{E61A9C16-929D-446B-B4E5-320911050636}" type="pres">
      <dgm:prSet presAssocID="{33A42351-2446-41B0-805E-2EF7C49A63A8}" presName="Child" presStyleLbl="revTx" presStyleIdx="5" presStyleCnt="6" custScaleY="51604">
        <dgm:presLayoutVars>
          <dgm:chMax val="0"/>
          <dgm:chPref val="0"/>
          <dgm:bulletEnabled val="1"/>
        </dgm:presLayoutVars>
      </dgm:prSet>
      <dgm:spPr/>
    </dgm:pt>
  </dgm:ptLst>
  <dgm:cxnLst>
    <dgm:cxn modelId="{10B3546A-C66A-42EB-AAA8-28B3C941EB28}" srcId="{68F27E25-69DE-41D2-964C-E4F9E1B18E65}" destId="{852D47A6-09C3-4E5E-83A4-ED3476DED188}" srcOrd="1" destOrd="0" parTransId="{C2EFAD94-2D23-4BFA-B7C4-4E235A1261AD}" sibTransId="{CBC82438-F0E5-40AC-9E2C-1851135327ED}"/>
    <dgm:cxn modelId="{5094BAC4-4681-48C8-95DC-341CD7FC3F54}" type="presOf" srcId="{4F833AD9-EC67-4539-A521-CC9DCB85B3A0}" destId="{983E7B25-64A2-4254-83B0-60C0A38C1D70}" srcOrd="0" destOrd="0" presId="urn:microsoft.com/office/officeart/2011/layout/TabList#3"/>
    <dgm:cxn modelId="{DCA46A12-9486-4E12-8D1F-1EC300387663}" type="presOf" srcId="{33A42351-2446-41B0-805E-2EF7C49A63A8}" destId="{00C1C24C-9374-46D6-BCDA-E0A33912A049}" srcOrd="0" destOrd="0" presId="urn:microsoft.com/office/officeart/2011/layout/TabList#3"/>
    <dgm:cxn modelId="{3626CCCC-3E55-45D9-84B1-A014B4B7F0E1}" type="presOf" srcId="{81744DE1-A451-43AD-BDFF-D0526C93A07C}" destId="{E5E35D62-46C8-4076-A693-F29F6455D30D}" srcOrd="0" destOrd="0" presId="urn:microsoft.com/office/officeart/2011/layout/TabList#3"/>
    <dgm:cxn modelId="{ADC25819-BBB3-4144-83D9-81E34885027D}" srcId="{68F27E25-69DE-41D2-964C-E4F9E1B18E65}" destId="{81744DE1-A451-43AD-BDFF-D0526C93A07C}" srcOrd="0" destOrd="0" parTransId="{181AE05C-7682-4DD4-88B6-BB4D37663B58}" sibTransId="{C918C1F5-204B-4D96-A1BD-78B49623D5A6}"/>
    <dgm:cxn modelId="{5F5F45CA-BF85-4EB1-8B4A-9BB38D2FEEF5}" type="presOf" srcId="{68F27E25-69DE-41D2-964C-E4F9E1B18E65}" destId="{E400BC4E-9B89-4F7A-A89B-CE6578902ACA}" srcOrd="0" destOrd="0" presId="urn:microsoft.com/office/officeart/2011/layout/TabList#3"/>
    <dgm:cxn modelId="{BD9590A7-7048-4FA1-8C4C-5C6B0D2A5E41}" srcId="{07F4A780-6EA8-4414-B3ED-3446F515E742}" destId="{7F4B675E-AFA9-4A7A-8AB5-6E6451FD0BEE}" srcOrd="2" destOrd="0" parTransId="{E95D0557-AE42-4476-8444-94519E7620E2}" sibTransId="{A2578978-490D-4D85-BA5C-49691873EC34}"/>
    <dgm:cxn modelId="{13C8F473-E5F9-48D6-B1A2-90930E66DC4F}" type="presOf" srcId="{2BEC0B8D-B90C-468B-AA69-7690BAD84E1B}" destId="{86EEA035-8973-4C11-ADA1-535C84138ECB}" srcOrd="0" destOrd="0" presId="urn:microsoft.com/office/officeart/2011/layout/TabList#3"/>
    <dgm:cxn modelId="{A1CAA446-1371-4D43-A001-2F84CE64EB35}" srcId="{07F4A780-6EA8-4414-B3ED-3446F515E742}" destId="{17FC88C6-F8B5-4136-A59A-D45038361470}" srcOrd="0" destOrd="0" parTransId="{5084EA0B-FA96-4943-ACA4-E266271EEF76}" sibTransId="{FDF33E61-22FF-4649-909D-B94D7074CA2C}"/>
    <dgm:cxn modelId="{D0D6C0E4-7585-47DE-BE62-340C6798122F}" srcId="{33A42351-2446-41B0-805E-2EF7C49A63A8}" destId="{BF7D9BAB-8903-49F7-80BE-6DD0653169F3}" srcOrd="0" destOrd="0" parTransId="{FE050C4C-F89F-4EA0-B760-31039B1A9656}" sibTransId="{F3C9969B-362D-4464-AE5F-6BB3768178F0}"/>
    <dgm:cxn modelId="{F3007552-BE50-4A24-BFE8-51B70FFAD7A0}" type="presOf" srcId="{B73BE295-6CFF-40A1-ACB9-DAE1C544BC65}" destId="{E61A9C16-929D-446B-B4E5-320911050636}" srcOrd="0" destOrd="0" presId="urn:microsoft.com/office/officeart/2011/layout/TabList#3"/>
    <dgm:cxn modelId="{008A8A98-32D2-4D50-B2B5-94E0C64826C1}" srcId="{4F833AD9-EC67-4539-A521-CC9DCB85B3A0}" destId="{07F4A780-6EA8-4414-B3ED-3446F515E742}" srcOrd="0" destOrd="0" parTransId="{8D087AE9-AD78-4A2C-A1FB-70F809B60078}" sibTransId="{DF69AB99-8697-4323-8BDB-2251C51369ED}"/>
    <dgm:cxn modelId="{ED5055DF-87BE-4F2B-AA18-37C2026CF7BA}" type="presOf" srcId="{BF7D9BAB-8903-49F7-80BE-6DD0653169F3}" destId="{9A89EC69-78EF-4754-96D4-22EE10F0D442}" srcOrd="0" destOrd="0" presId="urn:microsoft.com/office/officeart/2011/layout/TabList#3"/>
    <dgm:cxn modelId="{628B4D07-2725-4D73-8712-F2CADBE8B243}" type="presOf" srcId="{852D47A6-09C3-4E5E-83A4-ED3476DED188}" destId="{11B85752-E3C3-4973-951B-67DF0502F520}" srcOrd="0" destOrd="0" presId="urn:microsoft.com/office/officeart/2011/layout/TabList#3"/>
    <dgm:cxn modelId="{6D45026D-9B9C-404E-936D-C82207DF3A0A}" type="presOf" srcId="{17FC88C6-F8B5-4136-A59A-D45038361470}" destId="{18E805A1-E96C-4981-85BB-707A3103D6C6}" srcOrd="0" destOrd="0" presId="urn:microsoft.com/office/officeart/2011/layout/TabList#3"/>
    <dgm:cxn modelId="{A8DE65D7-728B-47AA-9AA9-8546A2E93879}" type="presOf" srcId="{7F4B675E-AFA9-4A7A-8AB5-6E6451FD0BEE}" destId="{86EEA035-8973-4C11-ADA1-535C84138ECB}" srcOrd="0" destOrd="1" presId="urn:microsoft.com/office/officeart/2011/layout/TabList#3"/>
    <dgm:cxn modelId="{B430EB1E-B12F-4F90-BC2E-A61B96E0CE61}" srcId="{33A42351-2446-41B0-805E-2EF7C49A63A8}" destId="{B73BE295-6CFF-40A1-ACB9-DAE1C544BC65}" srcOrd="1" destOrd="0" parTransId="{6E666FC8-97BC-492C-9321-E13AAE25A7CC}" sibTransId="{85C1A162-F958-4297-BB98-EB83675A4CBD}"/>
    <dgm:cxn modelId="{476D4E4A-81F3-4381-9DAC-F7189B92B31C}" srcId="{4F833AD9-EC67-4539-A521-CC9DCB85B3A0}" destId="{33A42351-2446-41B0-805E-2EF7C49A63A8}" srcOrd="2" destOrd="0" parTransId="{4FC4C1E8-0CD7-4EE9-9E19-CBCE96D62FF9}" sibTransId="{A10FFA73-C9B3-4617-88E9-285A7586BA40}"/>
    <dgm:cxn modelId="{8C8F1655-5CB6-40DD-987B-C557381490FB}" srcId="{4F833AD9-EC67-4539-A521-CC9DCB85B3A0}" destId="{68F27E25-69DE-41D2-964C-E4F9E1B18E65}" srcOrd="1" destOrd="0" parTransId="{652C4871-D190-4FA0-AA57-47CCC8966B77}" sibTransId="{1D618773-327A-4C14-BAD5-3CD2D5B5503B}"/>
    <dgm:cxn modelId="{FB0BBB54-A4A8-42B7-839C-2A5EDF6CC386}" type="presOf" srcId="{07F4A780-6EA8-4414-B3ED-3446F515E742}" destId="{7C8AB827-3DA0-40DB-B0FC-66BF779471C5}" srcOrd="0" destOrd="0" presId="urn:microsoft.com/office/officeart/2011/layout/TabList#3"/>
    <dgm:cxn modelId="{371D8B72-20AD-496C-9077-1AE50D287787}" srcId="{07F4A780-6EA8-4414-B3ED-3446F515E742}" destId="{2BEC0B8D-B90C-468B-AA69-7690BAD84E1B}" srcOrd="1" destOrd="0" parTransId="{8D49ABB5-076C-4E74-8CF8-DEE74CCB7A5E}" sibTransId="{7BDB0D5B-C544-42D1-9225-587B347775DC}"/>
    <dgm:cxn modelId="{323D9852-522F-4BE3-A1B0-48DDDACC087E}" type="presParOf" srcId="{983E7B25-64A2-4254-83B0-60C0A38C1D70}" destId="{39ED6BFD-3736-4394-A4F3-CF1188106989}" srcOrd="0" destOrd="0" presId="urn:microsoft.com/office/officeart/2011/layout/TabList#3"/>
    <dgm:cxn modelId="{17A991ED-279E-4505-AE4A-D729DDDA39D4}" type="presParOf" srcId="{39ED6BFD-3736-4394-A4F3-CF1188106989}" destId="{18E805A1-E96C-4981-85BB-707A3103D6C6}" srcOrd="0" destOrd="0" presId="urn:microsoft.com/office/officeart/2011/layout/TabList#3"/>
    <dgm:cxn modelId="{9C7391F1-8151-4BE5-A90E-A9822673D145}" type="presParOf" srcId="{39ED6BFD-3736-4394-A4F3-CF1188106989}" destId="{7C8AB827-3DA0-40DB-B0FC-66BF779471C5}" srcOrd="1" destOrd="0" presId="urn:microsoft.com/office/officeart/2011/layout/TabList#3"/>
    <dgm:cxn modelId="{B82C3936-1802-4097-B7A2-B52DBF39C70A}" type="presParOf" srcId="{39ED6BFD-3736-4394-A4F3-CF1188106989}" destId="{28552451-7B0A-4269-80D2-F7DD3965654E}" srcOrd="2" destOrd="0" presId="urn:microsoft.com/office/officeart/2011/layout/TabList#3"/>
    <dgm:cxn modelId="{0A76E76D-AD58-4C4F-89DF-8DEE9BB64884}" type="presParOf" srcId="{983E7B25-64A2-4254-83B0-60C0A38C1D70}" destId="{86EEA035-8973-4C11-ADA1-535C84138ECB}" srcOrd="1" destOrd="0" presId="urn:microsoft.com/office/officeart/2011/layout/TabList#3"/>
    <dgm:cxn modelId="{820EDC14-BA8B-4D55-8D2B-6F312B5FE749}" type="presParOf" srcId="{983E7B25-64A2-4254-83B0-60C0A38C1D70}" destId="{B95C865B-9727-4CFC-9CC2-EB36B0464F9F}" srcOrd="2" destOrd="0" presId="urn:microsoft.com/office/officeart/2011/layout/TabList#3"/>
    <dgm:cxn modelId="{3181F151-57DC-43DD-90AC-BC9BD38B9120}" type="presParOf" srcId="{983E7B25-64A2-4254-83B0-60C0A38C1D70}" destId="{D4973D2B-EA1E-46EA-9411-82A023D12B8F}" srcOrd="3" destOrd="0" presId="urn:microsoft.com/office/officeart/2011/layout/TabList#3"/>
    <dgm:cxn modelId="{16A3AA47-D4B2-4D01-BA87-087663BCCD46}" type="presParOf" srcId="{D4973D2B-EA1E-46EA-9411-82A023D12B8F}" destId="{E5E35D62-46C8-4076-A693-F29F6455D30D}" srcOrd="0" destOrd="0" presId="urn:microsoft.com/office/officeart/2011/layout/TabList#3"/>
    <dgm:cxn modelId="{3920A987-38FE-4C45-9CA2-1F666AF7DB07}" type="presParOf" srcId="{D4973D2B-EA1E-46EA-9411-82A023D12B8F}" destId="{E400BC4E-9B89-4F7A-A89B-CE6578902ACA}" srcOrd="1" destOrd="0" presId="urn:microsoft.com/office/officeart/2011/layout/TabList#3"/>
    <dgm:cxn modelId="{5669C639-F2EC-4BE8-86E2-BA98C3AC69CE}" type="presParOf" srcId="{D4973D2B-EA1E-46EA-9411-82A023D12B8F}" destId="{5B659AF9-D009-4F73-AD9A-0F1E2EA85B87}" srcOrd="2" destOrd="0" presId="urn:microsoft.com/office/officeart/2011/layout/TabList#3"/>
    <dgm:cxn modelId="{A633FEB5-02E9-4B24-BDEF-0DA5F589BB2D}" type="presParOf" srcId="{983E7B25-64A2-4254-83B0-60C0A38C1D70}" destId="{11B85752-E3C3-4973-951B-67DF0502F520}" srcOrd="4" destOrd="0" presId="urn:microsoft.com/office/officeart/2011/layout/TabList#3"/>
    <dgm:cxn modelId="{F8A897D6-0CA2-4D11-A505-9B13E2458D15}" type="presParOf" srcId="{983E7B25-64A2-4254-83B0-60C0A38C1D70}" destId="{7525372F-559B-49EF-87BC-144CEFB9B6C3}" srcOrd="5" destOrd="0" presId="urn:microsoft.com/office/officeart/2011/layout/TabList#3"/>
    <dgm:cxn modelId="{0F88B883-44C9-47B3-93EC-8F7505A48FEA}" type="presParOf" srcId="{983E7B25-64A2-4254-83B0-60C0A38C1D70}" destId="{BFF4D2B3-AB0A-4D74-AB05-67C1D46997A4}" srcOrd="6" destOrd="0" presId="urn:microsoft.com/office/officeart/2011/layout/TabList#3"/>
    <dgm:cxn modelId="{A438BA88-F355-42CC-976B-6C65C2E32E51}" type="presParOf" srcId="{BFF4D2B3-AB0A-4D74-AB05-67C1D46997A4}" destId="{9A89EC69-78EF-4754-96D4-22EE10F0D442}" srcOrd="0" destOrd="0" presId="urn:microsoft.com/office/officeart/2011/layout/TabList#3"/>
    <dgm:cxn modelId="{1E7A6447-D0E8-4B18-9DF3-DE62B54EFCD4}" type="presParOf" srcId="{BFF4D2B3-AB0A-4D74-AB05-67C1D46997A4}" destId="{00C1C24C-9374-46D6-BCDA-E0A33912A049}" srcOrd="1" destOrd="0" presId="urn:microsoft.com/office/officeart/2011/layout/TabList#3"/>
    <dgm:cxn modelId="{02515683-B861-4249-9E5F-D9389775DD50}" type="presParOf" srcId="{BFF4D2B3-AB0A-4D74-AB05-67C1D46997A4}" destId="{A6754E67-6378-48A5-A6A0-9ACDD8CB8901}" srcOrd="2" destOrd="0" presId="urn:microsoft.com/office/officeart/2011/layout/TabList#3"/>
    <dgm:cxn modelId="{5F723937-B2B2-4376-AC5A-31C6AF056228}" type="presParOf" srcId="{983E7B25-64A2-4254-83B0-60C0A38C1D70}" destId="{E61A9C16-929D-446B-B4E5-320911050636}" srcOrd="7" destOrd="0" presId="urn:microsoft.com/office/officeart/2011/layout/TabList#3"/>
  </dgm:cxnLst>
  <dgm:bg/>
  <dgm:whole>
    <a:ln w="19050">
      <a:solidFill>
        <a:schemeClr val="accent1"/>
      </a:solidFill>
    </a:ln>
  </dgm:whole>
  <dgm:extLst>
    <a:ext uri="http://schemas.microsoft.com/office/drawing/2008/diagram">
      <dsp:dataModelExt xmlns:dsp="http://schemas.microsoft.com/office/drawing/2008/diagram" relId="rId2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0945779-2409-4B7F-8647-A0B9296ED245}"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n-GB"/>
        </a:p>
      </dgm:t>
    </dgm:pt>
    <dgm:pt modelId="{6FC48E2F-947E-494A-AB4F-5AEB11DA4C20}">
      <dgm:prSet phldrT="[Text]"/>
      <dgm:spPr/>
      <dgm:t>
        <a:bodyPr/>
        <a:lstStyle/>
        <a:p>
          <a:r>
            <a:rPr lang="en-GB"/>
            <a:t>Step 1</a:t>
          </a:r>
        </a:p>
      </dgm:t>
    </dgm:pt>
    <dgm:pt modelId="{0CD26706-423C-4E44-BB9D-DA5CE3F88479}" type="parTrans" cxnId="{0F18A14F-76A1-48DF-9BE9-4B7CC90C5ECF}">
      <dgm:prSet/>
      <dgm:spPr/>
      <dgm:t>
        <a:bodyPr/>
        <a:lstStyle/>
        <a:p>
          <a:endParaRPr lang="en-GB"/>
        </a:p>
      </dgm:t>
    </dgm:pt>
    <dgm:pt modelId="{F0F1CC0E-7539-4683-B5C1-AF8D8EF1E3E2}" type="sibTrans" cxnId="{0F18A14F-76A1-48DF-9BE9-4B7CC90C5ECF}">
      <dgm:prSet/>
      <dgm:spPr/>
      <dgm:t>
        <a:bodyPr/>
        <a:lstStyle/>
        <a:p>
          <a:endParaRPr lang="en-GB"/>
        </a:p>
      </dgm:t>
    </dgm:pt>
    <dgm:pt modelId="{C365FB20-079E-469F-BC26-F23BCD6F6F82}">
      <dgm:prSet phldrT="[Text]"/>
      <dgm:spPr/>
      <dgm:t>
        <a:bodyPr/>
        <a:lstStyle/>
        <a:p>
          <a:pPr algn="ctr"/>
          <a:r>
            <a:rPr lang="en-GB"/>
            <a:t>Step 3</a:t>
          </a:r>
        </a:p>
      </dgm:t>
    </dgm:pt>
    <dgm:pt modelId="{078E6A73-E205-4731-BFC5-7F82A1EF3E34}" type="parTrans" cxnId="{DA2B0EB5-B6B3-47F0-8E0B-68616BE6119D}">
      <dgm:prSet/>
      <dgm:spPr/>
      <dgm:t>
        <a:bodyPr/>
        <a:lstStyle/>
        <a:p>
          <a:endParaRPr lang="en-GB"/>
        </a:p>
      </dgm:t>
    </dgm:pt>
    <dgm:pt modelId="{8B8A4EB6-17FE-406B-8A7F-E08044871DAC}" type="sibTrans" cxnId="{DA2B0EB5-B6B3-47F0-8E0B-68616BE6119D}">
      <dgm:prSet/>
      <dgm:spPr/>
      <dgm:t>
        <a:bodyPr/>
        <a:lstStyle/>
        <a:p>
          <a:endParaRPr lang="en-GB"/>
        </a:p>
      </dgm:t>
    </dgm:pt>
    <dgm:pt modelId="{42D17799-9B08-4E09-9596-AC5313AE03BB}">
      <dgm:prSet phldrT="[Text]" custT="1"/>
      <dgm:spPr/>
      <dgm:t>
        <a:bodyPr/>
        <a:lstStyle/>
        <a:p>
          <a:r>
            <a:rPr lang="en-GB" sz="1400"/>
            <a:t>Monitor rail energy consumption</a:t>
          </a:r>
        </a:p>
      </dgm:t>
    </dgm:pt>
    <dgm:pt modelId="{EAA69F97-317D-4F82-A35D-259EE989CE8D}" type="parTrans" cxnId="{4833A2D8-8611-47DD-8842-92DE0F1FBA72}">
      <dgm:prSet/>
      <dgm:spPr/>
      <dgm:t>
        <a:bodyPr/>
        <a:lstStyle/>
        <a:p>
          <a:endParaRPr lang="en-GB"/>
        </a:p>
      </dgm:t>
    </dgm:pt>
    <dgm:pt modelId="{2AEDE4DA-0BAC-4600-AD9B-6487A54D3AA2}" type="sibTrans" cxnId="{4833A2D8-8611-47DD-8842-92DE0F1FBA72}">
      <dgm:prSet/>
      <dgm:spPr/>
      <dgm:t>
        <a:bodyPr/>
        <a:lstStyle/>
        <a:p>
          <a:endParaRPr lang="en-GB"/>
        </a:p>
      </dgm:t>
    </dgm:pt>
    <dgm:pt modelId="{40D6AE20-5841-4E8F-83E3-3BBB87BC2342}">
      <dgm:prSet/>
      <dgm:spPr/>
      <dgm:t>
        <a:bodyPr/>
        <a:lstStyle/>
        <a:p>
          <a:r>
            <a:rPr lang="en-GB"/>
            <a:t>Step 4</a:t>
          </a:r>
        </a:p>
      </dgm:t>
    </dgm:pt>
    <dgm:pt modelId="{55A40D5E-38CA-42E7-A3D3-50A09D446FFA}" type="parTrans" cxnId="{2EAA2DB6-E7D1-4FD5-A6FF-EA67FF60CE82}">
      <dgm:prSet/>
      <dgm:spPr/>
      <dgm:t>
        <a:bodyPr/>
        <a:lstStyle/>
        <a:p>
          <a:endParaRPr lang="en-GB"/>
        </a:p>
      </dgm:t>
    </dgm:pt>
    <dgm:pt modelId="{1B8DAFA0-A7EB-4BC4-BA46-B4D26D9153C9}" type="sibTrans" cxnId="{2EAA2DB6-E7D1-4FD5-A6FF-EA67FF60CE82}">
      <dgm:prSet/>
      <dgm:spPr/>
      <dgm:t>
        <a:bodyPr/>
        <a:lstStyle/>
        <a:p>
          <a:endParaRPr lang="en-GB"/>
        </a:p>
      </dgm:t>
    </dgm:pt>
    <dgm:pt modelId="{4BB656D9-61A2-46D3-87AE-6DA0D6D7A381}">
      <dgm:prSet custT="1"/>
      <dgm:spPr/>
      <dgm:t>
        <a:bodyPr/>
        <a:lstStyle/>
        <a:p>
          <a:r>
            <a:rPr lang="de-DE" sz="1400"/>
            <a:t>Monitor baseline emission factors</a:t>
          </a:r>
          <a:endParaRPr lang="en-GB" sz="1400"/>
        </a:p>
      </dgm:t>
    </dgm:pt>
    <dgm:pt modelId="{897211EB-C979-4313-BD60-155A0D331968}" type="parTrans" cxnId="{82FEE6F1-1A43-4525-8E86-DD9AD6F3C553}">
      <dgm:prSet/>
      <dgm:spPr/>
      <dgm:t>
        <a:bodyPr/>
        <a:lstStyle/>
        <a:p>
          <a:endParaRPr lang="en-GB"/>
        </a:p>
      </dgm:t>
    </dgm:pt>
    <dgm:pt modelId="{B1F16A06-6E94-44D0-A616-3F0FDA8550A9}" type="sibTrans" cxnId="{82FEE6F1-1A43-4525-8E86-DD9AD6F3C553}">
      <dgm:prSet/>
      <dgm:spPr/>
      <dgm:t>
        <a:bodyPr/>
        <a:lstStyle/>
        <a:p>
          <a:endParaRPr lang="en-GB"/>
        </a:p>
      </dgm:t>
    </dgm:pt>
    <dgm:pt modelId="{67E0F75C-C1DE-4C52-99C6-228E4F2A7BB6}">
      <dgm:prSet/>
      <dgm:spPr/>
      <dgm:t>
        <a:bodyPr/>
        <a:lstStyle/>
        <a:p>
          <a:r>
            <a:rPr lang="de-DE"/>
            <a:t>Step 5</a:t>
          </a:r>
        </a:p>
      </dgm:t>
    </dgm:pt>
    <dgm:pt modelId="{792DCA7A-0A06-4454-8FB8-0066D02F9F00}" type="parTrans" cxnId="{C52171BF-CA77-4590-975D-4A4492952FD0}">
      <dgm:prSet/>
      <dgm:spPr/>
      <dgm:t>
        <a:bodyPr/>
        <a:lstStyle/>
        <a:p>
          <a:endParaRPr lang="de-DE"/>
        </a:p>
      </dgm:t>
    </dgm:pt>
    <dgm:pt modelId="{3116AC8D-D52D-4F54-A513-8F7151C61ECA}" type="sibTrans" cxnId="{C52171BF-CA77-4590-975D-4A4492952FD0}">
      <dgm:prSet/>
      <dgm:spPr/>
      <dgm:t>
        <a:bodyPr/>
        <a:lstStyle/>
        <a:p>
          <a:endParaRPr lang="de-DE"/>
        </a:p>
      </dgm:t>
    </dgm:pt>
    <dgm:pt modelId="{4128CAAD-EE63-4037-B6FA-7AD7AA8A7ED1}">
      <dgm:prSet/>
      <dgm:spPr/>
      <dgm:t>
        <a:bodyPr/>
        <a:lstStyle/>
        <a:p>
          <a:r>
            <a:rPr lang="de-DE"/>
            <a:t>Step 6</a:t>
          </a:r>
        </a:p>
      </dgm:t>
    </dgm:pt>
    <dgm:pt modelId="{55E0D20F-F09D-46BE-AE4C-2EA692DBAD69}" type="parTrans" cxnId="{632BF22C-B782-4E32-896A-D1168BA74101}">
      <dgm:prSet/>
      <dgm:spPr/>
      <dgm:t>
        <a:bodyPr/>
        <a:lstStyle/>
        <a:p>
          <a:endParaRPr lang="de-DE"/>
        </a:p>
      </dgm:t>
    </dgm:pt>
    <dgm:pt modelId="{43464EAF-05E9-4E71-A6C9-A469F88F7D89}" type="sibTrans" cxnId="{632BF22C-B782-4E32-896A-D1168BA74101}">
      <dgm:prSet/>
      <dgm:spPr/>
      <dgm:t>
        <a:bodyPr/>
        <a:lstStyle/>
        <a:p>
          <a:endParaRPr lang="de-DE"/>
        </a:p>
      </dgm:t>
    </dgm:pt>
    <dgm:pt modelId="{BDB209DC-33F8-4C7B-BF54-501852B0C820}">
      <dgm:prSet phldrT="[Text]" custT="1"/>
      <dgm:spPr/>
      <dgm:t>
        <a:bodyPr/>
        <a:lstStyle/>
        <a:p>
          <a:r>
            <a:rPr lang="en-GB" sz="1400"/>
            <a:t>Monitor and calculate the activity level in tkm and pkm</a:t>
          </a:r>
        </a:p>
      </dgm:t>
    </dgm:pt>
    <dgm:pt modelId="{F8C65B7B-7FF6-4A73-AF91-FCF959394817}" type="sibTrans" cxnId="{4563D572-6131-4A34-96F9-2B09249B6082}">
      <dgm:prSet/>
      <dgm:spPr/>
      <dgm:t>
        <a:bodyPr/>
        <a:lstStyle/>
        <a:p>
          <a:endParaRPr lang="en-GB"/>
        </a:p>
      </dgm:t>
    </dgm:pt>
    <dgm:pt modelId="{3A1DFA4F-ABDA-45A3-AB74-CE0143166F9C}" type="parTrans" cxnId="{4563D572-6131-4A34-96F9-2B09249B6082}">
      <dgm:prSet/>
      <dgm:spPr/>
      <dgm:t>
        <a:bodyPr/>
        <a:lstStyle/>
        <a:p>
          <a:endParaRPr lang="en-GB"/>
        </a:p>
      </dgm:t>
    </dgm:pt>
    <dgm:pt modelId="{190285EE-AF9C-4287-83F6-D065DC69DCA5}">
      <dgm:prSet phldrT="[Text]"/>
      <dgm:spPr/>
      <dgm:t>
        <a:bodyPr/>
        <a:lstStyle/>
        <a:p>
          <a:r>
            <a:rPr lang="en-GB"/>
            <a:t>Step 2</a:t>
          </a:r>
        </a:p>
      </dgm:t>
    </dgm:pt>
    <dgm:pt modelId="{7346D051-AA4C-4805-9A57-9BB443466997}" type="sibTrans" cxnId="{8C027475-16B2-47E8-87E7-C48E517F7328}">
      <dgm:prSet/>
      <dgm:spPr/>
      <dgm:t>
        <a:bodyPr/>
        <a:lstStyle/>
        <a:p>
          <a:endParaRPr lang="en-GB"/>
        </a:p>
      </dgm:t>
    </dgm:pt>
    <dgm:pt modelId="{5F22E213-80AA-40D8-83CB-A022814EB324}" type="parTrans" cxnId="{8C027475-16B2-47E8-87E7-C48E517F7328}">
      <dgm:prSet/>
      <dgm:spPr/>
      <dgm:t>
        <a:bodyPr/>
        <a:lstStyle/>
        <a:p>
          <a:endParaRPr lang="en-GB"/>
        </a:p>
      </dgm:t>
    </dgm:pt>
    <dgm:pt modelId="{DCF3A173-C713-4C43-8B90-5C2938FDAD71}">
      <dgm:prSet phldrT="[Text]" custT="1"/>
      <dgm:spPr/>
      <dgm:t>
        <a:bodyPr/>
        <a:lstStyle/>
        <a:p>
          <a:r>
            <a:rPr lang="en-GB" sz="1400"/>
            <a:t>Monitor implementation status</a:t>
          </a:r>
        </a:p>
      </dgm:t>
    </dgm:pt>
    <dgm:pt modelId="{D0E47D99-A649-4CA7-B46D-2C806D73D466}" type="sibTrans" cxnId="{E7FD8EEE-90CC-4F1D-A5C3-9C3C9D7E3742}">
      <dgm:prSet/>
      <dgm:spPr/>
      <dgm:t>
        <a:bodyPr/>
        <a:lstStyle/>
        <a:p>
          <a:endParaRPr lang="en-GB"/>
        </a:p>
      </dgm:t>
    </dgm:pt>
    <dgm:pt modelId="{384502C3-A0B7-4C95-AAE4-F19B44D1281A}" type="parTrans" cxnId="{E7FD8EEE-90CC-4F1D-A5C3-9C3C9D7E3742}">
      <dgm:prSet/>
      <dgm:spPr/>
      <dgm:t>
        <a:bodyPr/>
        <a:lstStyle/>
        <a:p>
          <a:endParaRPr lang="en-GB"/>
        </a:p>
      </dgm:t>
    </dgm:pt>
    <dgm:pt modelId="{49B6DD86-52CA-4866-B64D-65459084CA31}">
      <dgm:prSet custT="1"/>
      <dgm:spPr/>
      <dgm:t>
        <a:bodyPr/>
        <a:lstStyle/>
        <a:p>
          <a:r>
            <a:rPr lang="de-DE" sz="1400"/>
            <a:t>Calculate emission reductions</a:t>
          </a:r>
        </a:p>
      </dgm:t>
    </dgm:pt>
    <dgm:pt modelId="{AEF73475-CA3D-4819-A98A-124967BA84F7}" type="parTrans" cxnId="{B920D84B-4720-4C6B-8A12-C0A811CA19B8}">
      <dgm:prSet/>
      <dgm:spPr/>
      <dgm:t>
        <a:bodyPr/>
        <a:lstStyle/>
        <a:p>
          <a:endParaRPr lang="de-DE"/>
        </a:p>
      </dgm:t>
    </dgm:pt>
    <dgm:pt modelId="{CDC802BD-3CB0-404F-AC1F-8937B913D0E7}" type="sibTrans" cxnId="{B920D84B-4720-4C6B-8A12-C0A811CA19B8}">
      <dgm:prSet/>
      <dgm:spPr/>
      <dgm:t>
        <a:bodyPr/>
        <a:lstStyle/>
        <a:p>
          <a:endParaRPr lang="de-DE"/>
        </a:p>
      </dgm:t>
    </dgm:pt>
    <dgm:pt modelId="{1E940E08-40B7-4A28-A089-60216E94301F}">
      <dgm:prSet custT="1"/>
      <dgm:spPr/>
      <dgm:t>
        <a:bodyPr/>
        <a:lstStyle/>
        <a:p>
          <a:r>
            <a:rPr lang="en-GB" sz="1400"/>
            <a:t>Monitor and calculate sustainable development impact</a:t>
          </a:r>
          <a:endParaRPr lang="de-DE" sz="1400"/>
        </a:p>
      </dgm:t>
    </dgm:pt>
    <dgm:pt modelId="{DC73EA2A-E73E-4970-9E3E-70D100096CF6}" type="parTrans" cxnId="{A79DC07A-1CEA-42EE-BEA2-D2B25E9E0021}">
      <dgm:prSet/>
      <dgm:spPr/>
      <dgm:t>
        <a:bodyPr/>
        <a:lstStyle/>
        <a:p>
          <a:endParaRPr lang="de-DE"/>
        </a:p>
      </dgm:t>
    </dgm:pt>
    <dgm:pt modelId="{BEE3DDB9-4B87-4B64-B2AD-E7F9E4210522}" type="sibTrans" cxnId="{A79DC07A-1CEA-42EE-BEA2-D2B25E9E0021}">
      <dgm:prSet/>
      <dgm:spPr/>
      <dgm:t>
        <a:bodyPr/>
        <a:lstStyle/>
        <a:p>
          <a:endParaRPr lang="de-DE"/>
        </a:p>
      </dgm:t>
    </dgm:pt>
    <dgm:pt modelId="{E34EF187-2C9A-4082-A87F-164E2E2279E8}" type="pres">
      <dgm:prSet presAssocID="{20945779-2409-4B7F-8647-A0B9296ED245}" presName="linearFlow" presStyleCnt="0">
        <dgm:presLayoutVars>
          <dgm:dir/>
          <dgm:animLvl val="lvl"/>
          <dgm:resizeHandles val="exact"/>
        </dgm:presLayoutVars>
      </dgm:prSet>
      <dgm:spPr/>
    </dgm:pt>
    <dgm:pt modelId="{C083B272-9A42-4E2C-ACD9-18A6DE6C58CF}" type="pres">
      <dgm:prSet presAssocID="{6FC48E2F-947E-494A-AB4F-5AEB11DA4C20}" presName="composite" presStyleCnt="0"/>
      <dgm:spPr/>
    </dgm:pt>
    <dgm:pt modelId="{C32FA897-C93C-44DE-B215-B2B4AC5034D4}" type="pres">
      <dgm:prSet presAssocID="{6FC48E2F-947E-494A-AB4F-5AEB11DA4C20}" presName="parentText" presStyleLbl="alignNode1" presStyleIdx="0" presStyleCnt="6">
        <dgm:presLayoutVars>
          <dgm:chMax val="1"/>
          <dgm:bulletEnabled val="1"/>
        </dgm:presLayoutVars>
      </dgm:prSet>
      <dgm:spPr/>
    </dgm:pt>
    <dgm:pt modelId="{A9767E08-CFDF-421B-B4A3-F3F8A06B6D90}" type="pres">
      <dgm:prSet presAssocID="{6FC48E2F-947E-494A-AB4F-5AEB11DA4C20}" presName="descendantText" presStyleLbl="alignAcc1" presStyleIdx="0" presStyleCnt="6" custLinFactNeighborX="0" custLinFactNeighborY="-360">
        <dgm:presLayoutVars>
          <dgm:bulletEnabled val="1"/>
        </dgm:presLayoutVars>
      </dgm:prSet>
      <dgm:spPr/>
    </dgm:pt>
    <dgm:pt modelId="{9D43D6BE-DE4C-4B62-8273-A3D8D21616DC}" type="pres">
      <dgm:prSet presAssocID="{F0F1CC0E-7539-4683-B5C1-AF8D8EF1E3E2}" presName="sp" presStyleCnt="0"/>
      <dgm:spPr/>
    </dgm:pt>
    <dgm:pt modelId="{C1F5093E-4F9B-4109-8BDB-85406CE56B6E}" type="pres">
      <dgm:prSet presAssocID="{190285EE-AF9C-4287-83F6-D065DC69DCA5}" presName="composite" presStyleCnt="0"/>
      <dgm:spPr/>
    </dgm:pt>
    <dgm:pt modelId="{A0F6436E-DA51-45EE-8019-27B695CBE01D}" type="pres">
      <dgm:prSet presAssocID="{190285EE-AF9C-4287-83F6-D065DC69DCA5}" presName="parentText" presStyleLbl="alignNode1" presStyleIdx="1" presStyleCnt="6">
        <dgm:presLayoutVars>
          <dgm:chMax val="1"/>
          <dgm:bulletEnabled val="1"/>
        </dgm:presLayoutVars>
      </dgm:prSet>
      <dgm:spPr/>
    </dgm:pt>
    <dgm:pt modelId="{B5F06246-6FA4-42C7-B1D1-A470C326A9BE}" type="pres">
      <dgm:prSet presAssocID="{190285EE-AF9C-4287-83F6-D065DC69DCA5}" presName="descendantText" presStyleLbl="alignAcc1" presStyleIdx="1" presStyleCnt="6">
        <dgm:presLayoutVars>
          <dgm:bulletEnabled val="1"/>
        </dgm:presLayoutVars>
      </dgm:prSet>
      <dgm:spPr/>
    </dgm:pt>
    <dgm:pt modelId="{0C51A9BE-4B2E-4748-BD51-DBEBD166815C}" type="pres">
      <dgm:prSet presAssocID="{7346D051-AA4C-4805-9A57-9BB443466997}" presName="sp" presStyleCnt="0"/>
      <dgm:spPr/>
    </dgm:pt>
    <dgm:pt modelId="{3E88681C-8818-49B2-9E37-AC7353EB8C00}" type="pres">
      <dgm:prSet presAssocID="{C365FB20-079E-469F-BC26-F23BCD6F6F82}" presName="composite" presStyleCnt="0"/>
      <dgm:spPr/>
    </dgm:pt>
    <dgm:pt modelId="{BF90BF8D-2447-497E-B70B-40DEB52E9AC0}" type="pres">
      <dgm:prSet presAssocID="{C365FB20-079E-469F-BC26-F23BCD6F6F82}" presName="parentText" presStyleLbl="alignNode1" presStyleIdx="2" presStyleCnt="6">
        <dgm:presLayoutVars>
          <dgm:chMax val="1"/>
          <dgm:bulletEnabled val="1"/>
        </dgm:presLayoutVars>
      </dgm:prSet>
      <dgm:spPr/>
    </dgm:pt>
    <dgm:pt modelId="{891B9D76-1B73-4E62-8965-D2A4A39E9EA9}" type="pres">
      <dgm:prSet presAssocID="{C365FB20-079E-469F-BC26-F23BCD6F6F82}" presName="descendantText" presStyleLbl="alignAcc1" presStyleIdx="2" presStyleCnt="6">
        <dgm:presLayoutVars>
          <dgm:bulletEnabled val="1"/>
        </dgm:presLayoutVars>
      </dgm:prSet>
      <dgm:spPr/>
    </dgm:pt>
    <dgm:pt modelId="{664F0032-78FA-4E80-AEB4-2944212C8B36}" type="pres">
      <dgm:prSet presAssocID="{8B8A4EB6-17FE-406B-8A7F-E08044871DAC}" presName="sp" presStyleCnt="0"/>
      <dgm:spPr/>
    </dgm:pt>
    <dgm:pt modelId="{06549912-D7AE-4E44-8BFB-F4F6DE4E3180}" type="pres">
      <dgm:prSet presAssocID="{40D6AE20-5841-4E8F-83E3-3BBB87BC2342}" presName="composite" presStyleCnt="0"/>
      <dgm:spPr/>
    </dgm:pt>
    <dgm:pt modelId="{8DA3895F-0929-4339-AB00-AB34BEDC5795}" type="pres">
      <dgm:prSet presAssocID="{40D6AE20-5841-4E8F-83E3-3BBB87BC2342}" presName="parentText" presStyleLbl="alignNode1" presStyleIdx="3" presStyleCnt="6">
        <dgm:presLayoutVars>
          <dgm:chMax val="1"/>
          <dgm:bulletEnabled val="1"/>
        </dgm:presLayoutVars>
      </dgm:prSet>
      <dgm:spPr/>
    </dgm:pt>
    <dgm:pt modelId="{C2FCC2EB-584D-45A2-A1C6-7D9186D1D4F9}" type="pres">
      <dgm:prSet presAssocID="{40D6AE20-5841-4E8F-83E3-3BBB87BC2342}" presName="descendantText" presStyleLbl="alignAcc1" presStyleIdx="3" presStyleCnt="6">
        <dgm:presLayoutVars>
          <dgm:bulletEnabled val="1"/>
        </dgm:presLayoutVars>
      </dgm:prSet>
      <dgm:spPr/>
    </dgm:pt>
    <dgm:pt modelId="{85FAB61D-7CB2-4D52-85D6-77B747EBD1FC}" type="pres">
      <dgm:prSet presAssocID="{1B8DAFA0-A7EB-4BC4-BA46-B4D26D9153C9}" presName="sp" presStyleCnt="0"/>
      <dgm:spPr/>
    </dgm:pt>
    <dgm:pt modelId="{A35DC725-33A4-455E-B6FC-EF3BDDB7BAAC}" type="pres">
      <dgm:prSet presAssocID="{67E0F75C-C1DE-4C52-99C6-228E4F2A7BB6}" presName="composite" presStyleCnt="0"/>
      <dgm:spPr/>
    </dgm:pt>
    <dgm:pt modelId="{8564393C-7B28-48C9-8E70-54F2E805A60E}" type="pres">
      <dgm:prSet presAssocID="{67E0F75C-C1DE-4C52-99C6-228E4F2A7BB6}" presName="parentText" presStyleLbl="alignNode1" presStyleIdx="4" presStyleCnt="6">
        <dgm:presLayoutVars>
          <dgm:chMax val="1"/>
          <dgm:bulletEnabled val="1"/>
        </dgm:presLayoutVars>
      </dgm:prSet>
      <dgm:spPr/>
    </dgm:pt>
    <dgm:pt modelId="{87E80E50-AA1A-4EAA-8138-94D1C0B17389}" type="pres">
      <dgm:prSet presAssocID="{67E0F75C-C1DE-4C52-99C6-228E4F2A7BB6}" presName="descendantText" presStyleLbl="alignAcc1" presStyleIdx="4" presStyleCnt="6">
        <dgm:presLayoutVars>
          <dgm:bulletEnabled val="1"/>
        </dgm:presLayoutVars>
      </dgm:prSet>
      <dgm:spPr/>
    </dgm:pt>
    <dgm:pt modelId="{F82CDD97-8B35-4E6A-8448-DAED42CAF4E2}" type="pres">
      <dgm:prSet presAssocID="{3116AC8D-D52D-4F54-A513-8F7151C61ECA}" presName="sp" presStyleCnt="0"/>
      <dgm:spPr/>
    </dgm:pt>
    <dgm:pt modelId="{A3F72989-9348-4912-B7BF-CF9FD6BB4B8B}" type="pres">
      <dgm:prSet presAssocID="{4128CAAD-EE63-4037-B6FA-7AD7AA8A7ED1}" presName="composite" presStyleCnt="0"/>
      <dgm:spPr/>
    </dgm:pt>
    <dgm:pt modelId="{4E8E1B30-B581-47D9-8A74-C66281F6E49B}" type="pres">
      <dgm:prSet presAssocID="{4128CAAD-EE63-4037-B6FA-7AD7AA8A7ED1}" presName="parentText" presStyleLbl="alignNode1" presStyleIdx="5" presStyleCnt="6">
        <dgm:presLayoutVars>
          <dgm:chMax val="1"/>
          <dgm:bulletEnabled val="1"/>
        </dgm:presLayoutVars>
      </dgm:prSet>
      <dgm:spPr/>
    </dgm:pt>
    <dgm:pt modelId="{1DD6DAD8-B7A8-4DAA-80E8-F2EACB5F0C78}" type="pres">
      <dgm:prSet presAssocID="{4128CAAD-EE63-4037-B6FA-7AD7AA8A7ED1}" presName="descendantText" presStyleLbl="alignAcc1" presStyleIdx="5" presStyleCnt="6">
        <dgm:presLayoutVars>
          <dgm:bulletEnabled val="1"/>
        </dgm:presLayoutVars>
      </dgm:prSet>
      <dgm:spPr/>
    </dgm:pt>
  </dgm:ptLst>
  <dgm:cxnLst>
    <dgm:cxn modelId="{82FEE6F1-1A43-4525-8E86-DD9AD6F3C553}" srcId="{40D6AE20-5841-4E8F-83E3-3BBB87BC2342}" destId="{4BB656D9-61A2-46D3-87AE-6DA0D6D7A381}" srcOrd="0" destOrd="0" parTransId="{897211EB-C979-4313-BD60-155A0D331968}" sibTransId="{B1F16A06-6E94-44D0-A616-3F0FDA8550A9}"/>
    <dgm:cxn modelId="{5293E721-D6E8-44C3-8E4A-484992D82907}" type="presOf" srcId="{1E940E08-40B7-4A28-A089-60216E94301F}" destId="{1DD6DAD8-B7A8-4DAA-80E8-F2EACB5F0C78}" srcOrd="0" destOrd="0" presId="urn:microsoft.com/office/officeart/2005/8/layout/chevron2"/>
    <dgm:cxn modelId="{19D32176-7E31-43B3-B9C4-D1B206EF635D}" type="presOf" srcId="{4BB656D9-61A2-46D3-87AE-6DA0D6D7A381}" destId="{C2FCC2EB-584D-45A2-A1C6-7D9186D1D4F9}" srcOrd="0" destOrd="0" presId="urn:microsoft.com/office/officeart/2005/8/layout/chevron2"/>
    <dgm:cxn modelId="{0B3AFA03-6686-477E-AB47-87B00A069619}" type="presOf" srcId="{DCF3A173-C713-4C43-8B90-5C2938FDAD71}" destId="{A9767E08-CFDF-421B-B4A3-F3F8A06B6D90}" srcOrd="0" destOrd="0" presId="urn:microsoft.com/office/officeart/2005/8/layout/chevron2"/>
    <dgm:cxn modelId="{B920D84B-4720-4C6B-8A12-C0A811CA19B8}" srcId="{67E0F75C-C1DE-4C52-99C6-228E4F2A7BB6}" destId="{49B6DD86-52CA-4866-B64D-65459084CA31}" srcOrd="0" destOrd="0" parTransId="{AEF73475-CA3D-4819-A98A-124967BA84F7}" sibTransId="{CDC802BD-3CB0-404F-AC1F-8937B913D0E7}"/>
    <dgm:cxn modelId="{E7FD8EEE-90CC-4F1D-A5C3-9C3C9D7E3742}" srcId="{6FC48E2F-947E-494A-AB4F-5AEB11DA4C20}" destId="{DCF3A173-C713-4C43-8B90-5C2938FDAD71}" srcOrd="0" destOrd="0" parTransId="{384502C3-A0B7-4C95-AAE4-F19B44D1281A}" sibTransId="{D0E47D99-A649-4CA7-B46D-2C806D73D466}"/>
    <dgm:cxn modelId="{4DD639C0-0C1A-4F07-B8CE-0522760BA418}" type="presOf" srcId="{20945779-2409-4B7F-8647-A0B9296ED245}" destId="{E34EF187-2C9A-4082-A87F-164E2E2279E8}" srcOrd="0" destOrd="0" presId="urn:microsoft.com/office/officeart/2005/8/layout/chevron2"/>
    <dgm:cxn modelId="{34C72CD6-AD92-43AF-B560-48B4CC30C34B}" type="presOf" srcId="{C365FB20-079E-469F-BC26-F23BCD6F6F82}" destId="{BF90BF8D-2447-497E-B70B-40DEB52E9AC0}" srcOrd="0" destOrd="0" presId="urn:microsoft.com/office/officeart/2005/8/layout/chevron2"/>
    <dgm:cxn modelId="{C5B2A42A-657C-4522-B4CB-D6BAF671C7DF}" type="presOf" srcId="{6FC48E2F-947E-494A-AB4F-5AEB11DA4C20}" destId="{C32FA897-C93C-44DE-B215-B2B4AC5034D4}" srcOrd="0" destOrd="0" presId="urn:microsoft.com/office/officeart/2005/8/layout/chevron2"/>
    <dgm:cxn modelId="{C52171BF-CA77-4590-975D-4A4492952FD0}" srcId="{20945779-2409-4B7F-8647-A0B9296ED245}" destId="{67E0F75C-C1DE-4C52-99C6-228E4F2A7BB6}" srcOrd="4" destOrd="0" parTransId="{792DCA7A-0A06-4454-8FB8-0066D02F9F00}" sibTransId="{3116AC8D-D52D-4F54-A513-8F7151C61ECA}"/>
    <dgm:cxn modelId="{BBFF7CCC-B757-45ED-9110-1D3772038D84}" type="presOf" srcId="{49B6DD86-52CA-4866-B64D-65459084CA31}" destId="{87E80E50-AA1A-4EAA-8138-94D1C0B17389}" srcOrd="0" destOrd="0" presId="urn:microsoft.com/office/officeart/2005/8/layout/chevron2"/>
    <dgm:cxn modelId="{DA2B0EB5-B6B3-47F0-8E0B-68616BE6119D}" srcId="{20945779-2409-4B7F-8647-A0B9296ED245}" destId="{C365FB20-079E-469F-BC26-F23BCD6F6F82}" srcOrd="2" destOrd="0" parTransId="{078E6A73-E205-4731-BFC5-7F82A1EF3E34}" sibTransId="{8B8A4EB6-17FE-406B-8A7F-E08044871DAC}"/>
    <dgm:cxn modelId="{A79DC07A-1CEA-42EE-BEA2-D2B25E9E0021}" srcId="{4128CAAD-EE63-4037-B6FA-7AD7AA8A7ED1}" destId="{1E940E08-40B7-4A28-A089-60216E94301F}" srcOrd="0" destOrd="0" parTransId="{DC73EA2A-E73E-4970-9E3E-70D100096CF6}" sibTransId="{BEE3DDB9-4B87-4B64-B2AD-E7F9E4210522}"/>
    <dgm:cxn modelId="{582633B1-6851-4F74-A654-EC80ED829D29}" type="presOf" srcId="{190285EE-AF9C-4287-83F6-D065DC69DCA5}" destId="{A0F6436E-DA51-45EE-8019-27B695CBE01D}" srcOrd="0" destOrd="0" presId="urn:microsoft.com/office/officeart/2005/8/layout/chevron2"/>
    <dgm:cxn modelId="{911CE426-FEF3-40AC-916E-7BE5C020A12D}" type="presOf" srcId="{BDB209DC-33F8-4C7B-BF54-501852B0C820}" destId="{B5F06246-6FA4-42C7-B1D1-A470C326A9BE}" srcOrd="0" destOrd="0" presId="urn:microsoft.com/office/officeart/2005/8/layout/chevron2"/>
    <dgm:cxn modelId="{30C1E95F-703D-4AB0-B413-1ADAD2988AAB}" type="presOf" srcId="{40D6AE20-5841-4E8F-83E3-3BBB87BC2342}" destId="{8DA3895F-0929-4339-AB00-AB34BEDC5795}" srcOrd="0" destOrd="0" presId="urn:microsoft.com/office/officeart/2005/8/layout/chevron2"/>
    <dgm:cxn modelId="{8C027475-16B2-47E8-87E7-C48E517F7328}" srcId="{20945779-2409-4B7F-8647-A0B9296ED245}" destId="{190285EE-AF9C-4287-83F6-D065DC69DCA5}" srcOrd="1" destOrd="0" parTransId="{5F22E213-80AA-40D8-83CB-A022814EB324}" sibTransId="{7346D051-AA4C-4805-9A57-9BB443466997}"/>
    <dgm:cxn modelId="{632BF22C-B782-4E32-896A-D1168BA74101}" srcId="{20945779-2409-4B7F-8647-A0B9296ED245}" destId="{4128CAAD-EE63-4037-B6FA-7AD7AA8A7ED1}" srcOrd="5" destOrd="0" parTransId="{55E0D20F-F09D-46BE-AE4C-2EA692DBAD69}" sibTransId="{43464EAF-05E9-4E71-A6C9-A469F88F7D89}"/>
    <dgm:cxn modelId="{0F18A14F-76A1-48DF-9BE9-4B7CC90C5ECF}" srcId="{20945779-2409-4B7F-8647-A0B9296ED245}" destId="{6FC48E2F-947E-494A-AB4F-5AEB11DA4C20}" srcOrd="0" destOrd="0" parTransId="{0CD26706-423C-4E44-BB9D-DA5CE3F88479}" sibTransId="{F0F1CC0E-7539-4683-B5C1-AF8D8EF1E3E2}"/>
    <dgm:cxn modelId="{2EAA2DB6-E7D1-4FD5-A6FF-EA67FF60CE82}" srcId="{20945779-2409-4B7F-8647-A0B9296ED245}" destId="{40D6AE20-5841-4E8F-83E3-3BBB87BC2342}" srcOrd="3" destOrd="0" parTransId="{55A40D5E-38CA-42E7-A3D3-50A09D446FFA}" sibTransId="{1B8DAFA0-A7EB-4BC4-BA46-B4D26D9153C9}"/>
    <dgm:cxn modelId="{4563D572-6131-4A34-96F9-2B09249B6082}" srcId="{190285EE-AF9C-4287-83F6-D065DC69DCA5}" destId="{BDB209DC-33F8-4C7B-BF54-501852B0C820}" srcOrd="0" destOrd="0" parTransId="{3A1DFA4F-ABDA-45A3-AB74-CE0143166F9C}" sibTransId="{F8C65B7B-7FF6-4A73-AF91-FCF959394817}"/>
    <dgm:cxn modelId="{D43DDD78-2FD1-4129-AF92-001F7740787D}" type="presOf" srcId="{42D17799-9B08-4E09-9596-AC5313AE03BB}" destId="{891B9D76-1B73-4E62-8965-D2A4A39E9EA9}" srcOrd="0" destOrd="0" presId="urn:microsoft.com/office/officeart/2005/8/layout/chevron2"/>
    <dgm:cxn modelId="{5A32E4CA-8B49-441A-B929-00CF14188482}" type="presOf" srcId="{4128CAAD-EE63-4037-B6FA-7AD7AA8A7ED1}" destId="{4E8E1B30-B581-47D9-8A74-C66281F6E49B}" srcOrd="0" destOrd="0" presId="urn:microsoft.com/office/officeart/2005/8/layout/chevron2"/>
    <dgm:cxn modelId="{12DFEC6D-33F5-4949-A2C4-C8EBC262454E}" type="presOf" srcId="{67E0F75C-C1DE-4C52-99C6-228E4F2A7BB6}" destId="{8564393C-7B28-48C9-8E70-54F2E805A60E}" srcOrd="0" destOrd="0" presId="urn:microsoft.com/office/officeart/2005/8/layout/chevron2"/>
    <dgm:cxn modelId="{4833A2D8-8611-47DD-8842-92DE0F1FBA72}" srcId="{C365FB20-079E-469F-BC26-F23BCD6F6F82}" destId="{42D17799-9B08-4E09-9596-AC5313AE03BB}" srcOrd="0" destOrd="0" parTransId="{EAA69F97-317D-4F82-A35D-259EE989CE8D}" sibTransId="{2AEDE4DA-0BAC-4600-AD9B-6487A54D3AA2}"/>
    <dgm:cxn modelId="{C16DA3BD-8E5A-4F1A-A8EC-AE778A9E0129}" type="presParOf" srcId="{E34EF187-2C9A-4082-A87F-164E2E2279E8}" destId="{C083B272-9A42-4E2C-ACD9-18A6DE6C58CF}" srcOrd="0" destOrd="0" presId="urn:microsoft.com/office/officeart/2005/8/layout/chevron2"/>
    <dgm:cxn modelId="{44B3BE73-63D7-46D4-BBA9-C1BB77933F39}" type="presParOf" srcId="{C083B272-9A42-4E2C-ACD9-18A6DE6C58CF}" destId="{C32FA897-C93C-44DE-B215-B2B4AC5034D4}" srcOrd="0" destOrd="0" presId="urn:microsoft.com/office/officeart/2005/8/layout/chevron2"/>
    <dgm:cxn modelId="{7CB41128-874D-4C3D-B75A-B4047EC77076}" type="presParOf" srcId="{C083B272-9A42-4E2C-ACD9-18A6DE6C58CF}" destId="{A9767E08-CFDF-421B-B4A3-F3F8A06B6D90}" srcOrd="1" destOrd="0" presId="urn:microsoft.com/office/officeart/2005/8/layout/chevron2"/>
    <dgm:cxn modelId="{25C0A345-119C-4260-9D80-BAEE88F7B1FA}" type="presParOf" srcId="{E34EF187-2C9A-4082-A87F-164E2E2279E8}" destId="{9D43D6BE-DE4C-4B62-8273-A3D8D21616DC}" srcOrd="1" destOrd="0" presId="urn:microsoft.com/office/officeart/2005/8/layout/chevron2"/>
    <dgm:cxn modelId="{C150907A-B6CC-45D4-8C61-ABCCF8E22534}" type="presParOf" srcId="{E34EF187-2C9A-4082-A87F-164E2E2279E8}" destId="{C1F5093E-4F9B-4109-8BDB-85406CE56B6E}" srcOrd="2" destOrd="0" presId="urn:microsoft.com/office/officeart/2005/8/layout/chevron2"/>
    <dgm:cxn modelId="{47048C1E-203C-4AF6-AA02-4574ADEE475B}" type="presParOf" srcId="{C1F5093E-4F9B-4109-8BDB-85406CE56B6E}" destId="{A0F6436E-DA51-45EE-8019-27B695CBE01D}" srcOrd="0" destOrd="0" presId="urn:microsoft.com/office/officeart/2005/8/layout/chevron2"/>
    <dgm:cxn modelId="{8B1B4B9B-C53A-4E5D-B826-E956A30B75AF}" type="presParOf" srcId="{C1F5093E-4F9B-4109-8BDB-85406CE56B6E}" destId="{B5F06246-6FA4-42C7-B1D1-A470C326A9BE}" srcOrd="1" destOrd="0" presId="urn:microsoft.com/office/officeart/2005/8/layout/chevron2"/>
    <dgm:cxn modelId="{BBB0BEAE-01D0-4619-8784-69E42C6421B1}" type="presParOf" srcId="{E34EF187-2C9A-4082-A87F-164E2E2279E8}" destId="{0C51A9BE-4B2E-4748-BD51-DBEBD166815C}" srcOrd="3" destOrd="0" presId="urn:microsoft.com/office/officeart/2005/8/layout/chevron2"/>
    <dgm:cxn modelId="{6C08982D-8F76-4ED0-8E91-432C647338C0}" type="presParOf" srcId="{E34EF187-2C9A-4082-A87F-164E2E2279E8}" destId="{3E88681C-8818-49B2-9E37-AC7353EB8C00}" srcOrd="4" destOrd="0" presId="urn:microsoft.com/office/officeart/2005/8/layout/chevron2"/>
    <dgm:cxn modelId="{96ED50BD-6298-405B-9258-E3697F7BD2C5}" type="presParOf" srcId="{3E88681C-8818-49B2-9E37-AC7353EB8C00}" destId="{BF90BF8D-2447-497E-B70B-40DEB52E9AC0}" srcOrd="0" destOrd="0" presId="urn:microsoft.com/office/officeart/2005/8/layout/chevron2"/>
    <dgm:cxn modelId="{AC608816-07B6-441C-8076-E7543440D1CE}" type="presParOf" srcId="{3E88681C-8818-49B2-9E37-AC7353EB8C00}" destId="{891B9D76-1B73-4E62-8965-D2A4A39E9EA9}" srcOrd="1" destOrd="0" presId="urn:microsoft.com/office/officeart/2005/8/layout/chevron2"/>
    <dgm:cxn modelId="{455EDF8C-703F-45E1-B1AA-F4F505593576}" type="presParOf" srcId="{E34EF187-2C9A-4082-A87F-164E2E2279E8}" destId="{664F0032-78FA-4E80-AEB4-2944212C8B36}" srcOrd="5" destOrd="0" presId="urn:microsoft.com/office/officeart/2005/8/layout/chevron2"/>
    <dgm:cxn modelId="{C6357E50-D8ED-4184-B6EB-7062B0BB55CF}" type="presParOf" srcId="{E34EF187-2C9A-4082-A87F-164E2E2279E8}" destId="{06549912-D7AE-4E44-8BFB-F4F6DE4E3180}" srcOrd="6" destOrd="0" presId="urn:microsoft.com/office/officeart/2005/8/layout/chevron2"/>
    <dgm:cxn modelId="{E70267AF-F7AF-48E6-87FA-6CB892545532}" type="presParOf" srcId="{06549912-D7AE-4E44-8BFB-F4F6DE4E3180}" destId="{8DA3895F-0929-4339-AB00-AB34BEDC5795}" srcOrd="0" destOrd="0" presId="urn:microsoft.com/office/officeart/2005/8/layout/chevron2"/>
    <dgm:cxn modelId="{BBBD37BD-9E13-4C7D-8069-E946E6CC45D6}" type="presParOf" srcId="{06549912-D7AE-4E44-8BFB-F4F6DE4E3180}" destId="{C2FCC2EB-584D-45A2-A1C6-7D9186D1D4F9}" srcOrd="1" destOrd="0" presId="urn:microsoft.com/office/officeart/2005/8/layout/chevron2"/>
    <dgm:cxn modelId="{BDF0878E-2D0D-45E9-AC0F-C2122D09CC5F}" type="presParOf" srcId="{E34EF187-2C9A-4082-A87F-164E2E2279E8}" destId="{85FAB61D-7CB2-4D52-85D6-77B747EBD1FC}" srcOrd="7" destOrd="0" presId="urn:microsoft.com/office/officeart/2005/8/layout/chevron2"/>
    <dgm:cxn modelId="{7D1A64B0-98E1-41FC-AEA6-A77AD64FB9C8}" type="presParOf" srcId="{E34EF187-2C9A-4082-A87F-164E2E2279E8}" destId="{A35DC725-33A4-455E-B6FC-EF3BDDB7BAAC}" srcOrd="8" destOrd="0" presId="urn:microsoft.com/office/officeart/2005/8/layout/chevron2"/>
    <dgm:cxn modelId="{20BB0CCC-CE07-458B-AFAE-5D3389E0AF49}" type="presParOf" srcId="{A35DC725-33A4-455E-B6FC-EF3BDDB7BAAC}" destId="{8564393C-7B28-48C9-8E70-54F2E805A60E}" srcOrd="0" destOrd="0" presId="urn:microsoft.com/office/officeart/2005/8/layout/chevron2"/>
    <dgm:cxn modelId="{D56C99BE-28A3-43C4-8DF8-CC9025FE08D6}" type="presParOf" srcId="{A35DC725-33A4-455E-B6FC-EF3BDDB7BAAC}" destId="{87E80E50-AA1A-4EAA-8138-94D1C0B17389}" srcOrd="1" destOrd="0" presId="urn:microsoft.com/office/officeart/2005/8/layout/chevron2"/>
    <dgm:cxn modelId="{2969C120-3108-4D81-A3E3-1DF506B5C610}" type="presParOf" srcId="{E34EF187-2C9A-4082-A87F-164E2E2279E8}" destId="{F82CDD97-8B35-4E6A-8448-DAED42CAF4E2}" srcOrd="9" destOrd="0" presId="urn:microsoft.com/office/officeart/2005/8/layout/chevron2"/>
    <dgm:cxn modelId="{03A91E77-5F32-4532-9665-C432E2D44A2E}" type="presParOf" srcId="{E34EF187-2C9A-4082-A87F-164E2E2279E8}" destId="{A3F72989-9348-4912-B7BF-CF9FD6BB4B8B}" srcOrd="10" destOrd="0" presId="urn:microsoft.com/office/officeart/2005/8/layout/chevron2"/>
    <dgm:cxn modelId="{4D553D5E-5BAB-48EE-A00E-9FCA9F0FCCE8}" type="presParOf" srcId="{A3F72989-9348-4912-B7BF-CF9FD6BB4B8B}" destId="{4E8E1B30-B581-47D9-8A74-C66281F6E49B}" srcOrd="0" destOrd="0" presId="urn:microsoft.com/office/officeart/2005/8/layout/chevron2"/>
    <dgm:cxn modelId="{7D395A46-6D16-47C9-89BF-17223CDC905F}" type="presParOf" srcId="{A3F72989-9348-4912-B7BF-CF9FD6BB4B8B}" destId="{1DD6DAD8-B7A8-4DAA-80E8-F2EACB5F0C78}" srcOrd="1" destOrd="0" presId="urn:microsoft.com/office/officeart/2005/8/layout/chevron2"/>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6754E67-6378-48A5-A6A0-9ACDD8CB8901}">
      <dsp:nvSpPr>
        <dsp:cNvPr id="0" name=""/>
        <dsp:cNvSpPr/>
      </dsp:nvSpPr>
      <dsp:spPr>
        <a:xfrm>
          <a:off x="0" y="2388380"/>
          <a:ext cx="5631179" cy="0"/>
        </a:xfrm>
        <a:prstGeom prst="line">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B659AF9-D009-4F73-AD9A-0F1E2EA85B87}">
      <dsp:nvSpPr>
        <dsp:cNvPr id="0" name=""/>
        <dsp:cNvSpPr/>
      </dsp:nvSpPr>
      <dsp:spPr>
        <a:xfrm>
          <a:off x="0" y="1404302"/>
          <a:ext cx="5631179" cy="0"/>
        </a:xfrm>
        <a:prstGeom prst="line">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8552451-7B0A-4269-80D2-F7DD3965654E}">
      <dsp:nvSpPr>
        <dsp:cNvPr id="0" name=""/>
        <dsp:cNvSpPr/>
      </dsp:nvSpPr>
      <dsp:spPr>
        <a:xfrm>
          <a:off x="0" y="347460"/>
          <a:ext cx="5631179" cy="0"/>
        </a:xfrm>
        <a:prstGeom prst="line">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8E805A1-E96C-4981-85BB-707A3103D6C6}">
      <dsp:nvSpPr>
        <dsp:cNvPr id="0" name=""/>
        <dsp:cNvSpPr/>
      </dsp:nvSpPr>
      <dsp:spPr>
        <a:xfrm>
          <a:off x="1464106" y="989"/>
          <a:ext cx="4167073" cy="34647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b" anchorCtr="0">
          <a:noAutofit/>
        </a:bodyPr>
        <a:lstStyle/>
        <a:p>
          <a:pPr marL="0" lvl="0" indent="0" algn="l" defTabSz="800100">
            <a:lnSpc>
              <a:spcPct val="90000"/>
            </a:lnSpc>
            <a:spcBef>
              <a:spcPct val="0"/>
            </a:spcBef>
            <a:spcAft>
              <a:spcPct val="35000"/>
            </a:spcAft>
            <a:buNone/>
          </a:pPr>
          <a:r>
            <a:rPr lang="de-DE" sz="1800" kern="1200"/>
            <a:t>Activity Level</a:t>
          </a:r>
        </a:p>
      </dsp:txBody>
      <dsp:txXfrm>
        <a:off x="1464106" y="989"/>
        <a:ext cx="4167073" cy="346471"/>
      </dsp:txXfrm>
    </dsp:sp>
    <dsp:sp modelId="{7C8AB827-3DA0-40DB-B0FC-66BF779471C5}">
      <dsp:nvSpPr>
        <dsp:cNvPr id="0" name=""/>
        <dsp:cNvSpPr/>
      </dsp:nvSpPr>
      <dsp:spPr>
        <a:xfrm>
          <a:off x="0" y="989"/>
          <a:ext cx="1464106" cy="346471"/>
        </a:xfrm>
        <a:prstGeom prst="round2SameRect">
          <a:avLst>
            <a:gd name="adj1" fmla="val 16670"/>
            <a:gd name="adj2" fmla="val 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800100">
            <a:lnSpc>
              <a:spcPct val="90000"/>
            </a:lnSpc>
            <a:spcBef>
              <a:spcPct val="0"/>
            </a:spcBef>
            <a:spcAft>
              <a:spcPct val="35000"/>
            </a:spcAft>
            <a:buNone/>
          </a:pPr>
          <a:r>
            <a:rPr lang="de-DE" sz="1800" kern="1200"/>
            <a:t>Step 1</a:t>
          </a:r>
        </a:p>
      </dsp:txBody>
      <dsp:txXfrm>
        <a:off x="16916" y="17905"/>
        <a:ext cx="1430274" cy="329555"/>
      </dsp:txXfrm>
    </dsp:sp>
    <dsp:sp modelId="{86EEA035-8973-4C11-ADA1-535C84138ECB}">
      <dsp:nvSpPr>
        <dsp:cNvPr id="0" name=""/>
        <dsp:cNvSpPr/>
      </dsp:nvSpPr>
      <dsp:spPr>
        <a:xfrm>
          <a:off x="0" y="347460"/>
          <a:ext cx="5631179" cy="69304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0955" tIns="20955" rIns="20955" bIns="20955" numCol="1" spcCol="1270" anchor="t" anchorCtr="0">
          <a:noAutofit/>
        </a:bodyPr>
        <a:lstStyle/>
        <a:p>
          <a:pPr marL="57150" lvl="1" indent="-57150" algn="l" defTabSz="466725">
            <a:lnSpc>
              <a:spcPct val="90000"/>
            </a:lnSpc>
            <a:spcBef>
              <a:spcPct val="0"/>
            </a:spcBef>
            <a:spcAft>
              <a:spcPct val="15000"/>
            </a:spcAft>
            <a:buChar char="•"/>
          </a:pPr>
          <a:r>
            <a:rPr lang="de-DE" sz="1050" kern="1200"/>
            <a:t> BAU pkm and tkm rail is determined</a:t>
          </a:r>
        </a:p>
        <a:p>
          <a:pPr marL="57150" lvl="1" indent="-57150" algn="l" defTabSz="466725">
            <a:lnSpc>
              <a:spcPct val="90000"/>
            </a:lnSpc>
            <a:spcBef>
              <a:spcPct val="0"/>
            </a:spcBef>
            <a:spcAft>
              <a:spcPct val="15000"/>
            </a:spcAft>
            <a:buChar char="•"/>
          </a:pPr>
          <a:r>
            <a:rPr lang="de-DE" sz="1050" kern="1200"/>
            <a:t> The total baseline emissions are determined based on the rail activity level with the NAMA. Calculations require the BAU and the NAMA rail activity levels with the difference representing the mode shift. </a:t>
          </a:r>
        </a:p>
      </dsp:txBody>
      <dsp:txXfrm>
        <a:off x="0" y="347460"/>
        <a:ext cx="5631179" cy="693046"/>
      </dsp:txXfrm>
    </dsp:sp>
    <dsp:sp modelId="{E5E35D62-46C8-4076-A693-F29F6455D30D}">
      <dsp:nvSpPr>
        <dsp:cNvPr id="0" name=""/>
        <dsp:cNvSpPr/>
      </dsp:nvSpPr>
      <dsp:spPr>
        <a:xfrm>
          <a:off x="1464106" y="1057830"/>
          <a:ext cx="4167073" cy="34647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b" anchorCtr="0">
          <a:noAutofit/>
        </a:bodyPr>
        <a:lstStyle/>
        <a:p>
          <a:pPr marL="0" lvl="0" indent="0" algn="l" defTabSz="800100">
            <a:lnSpc>
              <a:spcPct val="90000"/>
            </a:lnSpc>
            <a:spcBef>
              <a:spcPct val="0"/>
            </a:spcBef>
            <a:spcAft>
              <a:spcPct val="35000"/>
            </a:spcAft>
            <a:buNone/>
          </a:pPr>
          <a:r>
            <a:rPr lang="de-DE" sz="1800" kern="1200"/>
            <a:t>Mode Share Baseline</a:t>
          </a:r>
        </a:p>
      </dsp:txBody>
      <dsp:txXfrm>
        <a:off x="1464106" y="1057830"/>
        <a:ext cx="4167073" cy="346471"/>
      </dsp:txXfrm>
    </dsp:sp>
    <dsp:sp modelId="{E400BC4E-9B89-4F7A-A89B-CE6578902ACA}">
      <dsp:nvSpPr>
        <dsp:cNvPr id="0" name=""/>
        <dsp:cNvSpPr/>
      </dsp:nvSpPr>
      <dsp:spPr>
        <a:xfrm>
          <a:off x="0" y="1057830"/>
          <a:ext cx="1464106" cy="346471"/>
        </a:xfrm>
        <a:prstGeom prst="round2SameRect">
          <a:avLst>
            <a:gd name="adj1" fmla="val 16670"/>
            <a:gd name="adj2" fmla="val 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800100">
            <a:lnSpc>
              <a:spcPct val="90000"/>
            </a:lnSpc>
            <a:spcBef>
              <a:spcPct val="0"/>
            </a:spcBef>
            <a:spcAft>
              <a:spcPct val="35000"/>
            </a:spcAft>
            <a:buNone/>
          </a:pPr>
          <a:r>
            <a:rPr lang="de-DE" sz="1800" kern="1200"/>
            <a:t>Step 2</a:t>
          </a:r>
        </a:p>
      </dsp:txBody>
      <dsp:txXfrm>
        <a:off x="16916" y="1074746"/>
        <a:ext cx="1430274" cy="329555"/>
      </dsp:txXfrm>
    </dsp:sp>
    <dsp:sp modelId="{11B85752-E3C3-4973-951B-67DF0502F520}">
      <dsp:nvSpPr>
        <dsp:cNvPr id="0" name=""/>
        <dsp:cNvSpPr/>
      </dsp:nvSpPr>
      <dsp:spPr>
        <a:xfrm>
          <a:off x="0" y="1404302"/>
          <a:ext cx="5631179" cy="62028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0955" tIns="20955" rIns="20955" bIns="20955" numCol="1" spcCol="1270" anchor="t" anchorCtr="0">
          <a:noAutofit/>
        </a:bodyPr>
        <a:lstStyle/>
        <a:p>
          <a:pPr marL="57150" lvl="1" indent="-57150" algn="l" defTabSz="488950">
            <a:lnSpc>
              <a:spcPct val="90000"/>
            </a:lnSpc>
            <a:spcBef>
              <a:spcPct val="0"/>
            </a:spcBef>
            <a:spcAft>
              <a:spcPct val="15000"/>
            </a:spcAft>
            <a:buChar char="•"/>
          </a:pPr>
          <a:r>
            <a:rPr lang="de-DE" sz="1100" kern="1200"/>
            <a:t> </a:t>
          </a:r>
          <a:r>
            <a:rPr lang="de-DE" sz="1050" kern="1200"/>
            <a:t>The mode share of the baseline is equivalent to the mode rail passengers / freight would have used in absence of rail. The mode shift is only applied to the additional rail activity level (NAMA minus BAU pkm and tkm).</a:t>
          </a:r>
        </a:p>
      </dsp:txBody>
      <dsp:txXfrm>
        <a:off x="0" y="1404302"/>
        <a:ext cx="5631179" cy="620283"/>
      </dsp:txXfrm>
    </dsp:sp>
    <dsp:sp modelId="{9A89EC69-78EF-4754-96D4-22EE10F0D442}">
      <dsp:nvSpPr>
        <dsp:cNvPr id="0" name=""/>
        <dsp:cNvSpPr/>
      </dsp:nvSpPr>
      <dsp:spPr>
        <a:xfrm>
          <a:off x="1464106" y="2041909"/>
          <a:ext cx="4167073" cy="34647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b" anchorCtr="0">
          <a:noAutofit/>
        </a:bodyPr>
        <a:lstStyle/>
        <a:p>
          <a:pPr marL="0" lvl="0" indent="0" algn="l" defTabSz="800100">
            <a:lnSpc>
              <a:spcPct val="90000"/>
            </a:lnSpc>
            <a:spcBef>
              <a:spcPct val="0"/>
            </a:spcBef>
            <a:spcAft>
              <a:spcPct val="35000"/>
            </a:spcAft>
            <a:buNone/>
          </a:pPr>
          <a:r>
            <a:rPr lang="de-DE" sz="1800" kern="1200"/>
            <a:t>EF per Mode</a:t>
          </a:r>
        </a:p>
      </dsp:txBody>
      <dsp:txXfrm>
        <a:off x="1464106" y="2041909"/>
        <a:ext cx="4167073" cy="346471"/>
      </dsp:txXfrm>
    </dsp:sp>
    <dsp:sp modelId="{00C1C24C-9374-46D6-BCDA-E0A33912A049}">
      <dsp:nvSpPr>
        <dsp:cNvPr id="0" name=""/>
        <dsp:cNvSpPr/>
      </dsp:nvSpPr>
      <dsp:spPr>
        <a:xfrm>
          <a:off x="0" y="2041909"/>
          <a:ext cx="1464106" cy="346471"/>
        </a:xfrm>
        <a:prstGeom prst="round2SameRect">
          <a:avLst>
            <a:gd name="adj1" fmla="val 16670"/>
            <a:gd name="adj2" fmla="val 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800100">
            <a:lnSpc>
              <a:spcPct val="90000"/>
            </a:lnSpc>
            <a:spcBef>
              <a:spcPct val="0"/>
            </a:spcBef>
            <a:spcAft>
              <a:spcPct val="35000"/>
            </a:spcAft>
            <a:buNone/>
          </a:pPr>
          <a:r>
            <a:rPr lang="de-DE" sz="1800" kern="1200"/>
            <a:t>Step 3</a:t>
          </a:r>
        </a:p>
      </dsp:txBody>
      <dsp:txXfrm>
        <a:off x="16916" y="2058825"/>
        <a:ext cx="1430274" cy="329555"/>
      </dsp:txXfrm>
    </dsp:sp>
    <dsp:sp modelId="{E61A9C16-929D-446B-B4E5-320911050636}">
      <dsp:nvSpPr>
        <dsp:cNvPr id="0" name=""/>
        <dsp:cNvSpPr/>
      </dsp:nvSpPr>
      <dsp:spPr>
        <a:xfrm>
          <a:off x="0" y="2388380"/>
          <a:ext cx="5631179" cy="35763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050" tIns="19050" rIns="19050" bIns="19050" numCol="1" spcCol="1270" anchor="t" anchorCtr="0">
          <a:noAutofit/>
        </a:bodyPr>
        <a:lstStyle/>
        <a:p>
          <a:pPr marL="57150" lvl="1" indent="-57150" algn="l" defTabSz="444500">
            <a:lnSpc>
              <a:spcPct val="90000"/>
            </a:lnSpc>
            <a:spcBef>
              <a:spcPct val="0"/>
            </a:spcBef>
            <a:spcAft>
              <a:spcPct val="15000"/>
            </a:spcAft>
            <a:buChar char="•"/>
          </a:pPr>
          <a:r>
            <a:rPr lang="de-DE" sz="1000" kern="1200"/>
            <a:t>For each baseline mode the EF per pkm and tkm is determined.</a:t>
          </a:r>
        </a:p>
      </dsp:txBody>
      <dsp:txXfrm>
        <a:off x="0" y="2388380"/>
        <a:ext cx="5631179" cy="35763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32FA897-C93C-44DE-B215-B2B4AC5034D4}">
      <dsp:nvSpPr>
        <dsp:cNvPr id="0" name=""/>
        <dsp:cNvSpPr/>
      </dsp:nvSpPr>
      <dsp:spPr>
        <a:xfrm rot="5400000">
          <a:off x="-78543" y="79769"/>
          <a:ext cx="523625" cy="366537"/>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t>Step 1</a:t>
          </a:r>
        </a:p>
      </dsp:txBody>
      <dsp:txXfrm rot="-5400000">
        <a:off x="2" y="184494"/>
        <a:ext cx="366537" cy="157088"/>
      </dsp:txXfrm>
    </dsp:sp>
    <dsp:sp modelId="{A9767E08-CFDF-421B-B4A3-F3F8A06B6D90}">
      <dsp:nvSpPr>
        <dsp:cNvPr id="0" name=""/>
        <dsp:cNvSpPr/>
      </dsp:nvSpPr>
      <dsp:spPr>
        <a:xfrm rot="5400000">
          <a:off x="2756290" y="-2389752"/>
          <a:ext cx="340356" cy="5119862"/>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en-GB" sz="1400" kern="1200"/>
            <a:t>Monitor implementation status</a:t>
          </a:r>
        </a:p>
      </dsp:txBody>
      <dsp:txXfrm rot="-5400000">
        <a:off x="366538" y="16615"/>
        <a:ext cx="5103247" cy="307126"/>
      </dsp:txXfrm>
    </dsp:sp>
    <dsp:sp modelId="{A0F6436E-DA51-45EE-8019-27B695CBE01D}">
      <dsp:nvSpPr>
        <dsp:cNvPr id="0" name=""/>
        <dsp:cNvSpPr/>
      </dsp:nvSpPr>
      <dsp:spPr>
        <a:xfrm rot="5400000">
          <a:off x="-78543" y="495761"/>
          <a:ext cx="523625" cy="366537"/>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t>Step 2</a:t>
          </a:r>
        </a:p>
      </dsp:txBody>
      <dsp:txXfrm rot="-5400000">
        <a:off x="2" y="600486"/>
        <a:ext cx="366537" cy="157088"/>
      </dsp:txXfrm>
    </dsp:sp>
    <dsp:sp modelId="{B5F06246-6FA4-42C7-B1D1-A470C326A9BE}">
      <dsp:nvSpPr>
        <dsp:cNvPr id="0" name=""/>
        <dsp:cNvSpPr/>
      </dsp:nvSpPr>
      <dsp:spPr>
        <a:xfrm rot="5400000">
          <a:off x="2756290" y="-1972534"/>
          <a:ext cx="340356" cy="5119862"/>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en-GB" sz="1400" kern="1200"/>
            <a:t>Monitor and calculate the activity level in tkm and pkm</a:t>
          </a:r>
        </a:p>
      </dsp:txBody>
      <dsp:txXfrm rot="-5400000">
        <a:off x="366538" y="433833"/>
        <a:ext cx="5103247" cy="307126"/>
      </dsp:txXfrm>
    </dsp:sp>
    <dsp:sp modelId="{BF90BF8D-2447-497E-B70B-40DEB52E9AC0}">
      <dsp:nvSpPr>
        <dsp:cNvPr id="0" name=""/>
        <dsp:cNvSpPr/>
      </dsp:nvSpPr>
      <dsp:spPr>
        <a:xfrm rot="5400000">
          <a:off x="-78543" y="911754"/>
          <a:ext cx="523625" cy="366537"/>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t>Step 3</a:t>
          </a:r>
        </a:p>
      </dsp:txBody>
      <dsp:txXfrm rot="-5400000">
        <a:off x="2" y="1016479"/>
        <a:ext cx="366537" cy="157088"/>
      </dsp:txXfrm>
    </dsp:sp>
    <dsp:sp modelId="{891B9D76-1B73-4E62-8965-D2A4A39E9EA9}">
      <dsp:nvSpPr>
        <dsp:cNvPr id="0" name=""/>
        <dsp:cNvSpPr/>
      </dsp:nvSpPr>
      <dsp:spPr>
        <a:xfrm rot="5400000">
          <a:off x="2756290" y="-1556541"/>
          <a:ext cx="340356" cy="5119862"/>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en-GB" sz="1400" kern="1200"/>
            <a:t>Monitor rail energy consumption</a:t>
          </a:r>
        </a:p>
      </dsp:txBody>
      <dsp:txXfrm rot="-5400000">
        <a:off x="366538" y="849826"/>
        <a:ext cx="5103247" cy="307126"/>
      </dsp:txXfrm>
    </dsp:sp>
    <dsp:sp modelId="{8DA3895F-0929-4339-AB00-AB34BEDC5795}">
      <dsp:nvSpPr>
        <dsp:cNvPr id="0" name=""/>
        <dsp:cNvSpPr/>
      </dsp:nvSpPr>
      <dsp:spPr>
        <a:xfrm rot="5400000">
          <a:off x="-78543" y="1327747"/>
          <a:ext cx="523625" cy="366537"/>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t>Step 4</a:t>
          </a:r>
        </a:p>
      </dsp:txBody>
      <dsp:txXfrm rot="-5400000">
        <a:off x="2" y="1432472"/>
        <a:ext cx="366537" cy="157088"/>
      </dsp:txXfrm>
    </dsp:sp>
    <dsp:sp modelId="{C2FCC2EB-584D-45A2-A1C6-7D9186D1D4F9}">
      <dsp:nvSpPr>
        <dsp:cNvPr id="0" name=""/>
        <dsp:cNvSpPr/>
      </dsp:nvSpPr>
      <dsp:spPr>
        <a:xfrm rot="5400000">
          <a:off x="2756290" y="-1140549"/>
          <a:ext cx="340356" cy="5119862"/>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de-DE" sz="1400" kern="1200"/>
            <a:t>Monitor baseline emission factors</a:t>
          </a:r>
          <a:endParaRPr lang="en-GB" sz="1400" kern="1200"/>
        </a:p>
      </dsp:txBody>
      <dsp:txXfrm rot="-5400000">
        <a:off x="366538" y="1265818"/>
        <a:ext cx="5103247" cy="307126"/>
      </dsp:txXfrm>
    </dsp:sp>
    <dsp:sp modelId="{8564393C-7B28-48C9-8E70-54F2E805A60E}">
      <dsp:nvSpPr>
        <dsp:cNvPr id="0" name=""/>
        <dsp:cNvSpPr/>
      </dsp:nvSpPr>
      <dsp:spPr>
        <a:xfrm rot="5400000">
          <a:off x="-78543" y="1743740"/>
          <a:ext cx="523625" cy="366537"/>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de-DE" sz="1000" kern="1200"/>
            <a:t>Step 5</a:t>
          </a:r>
        </a:p>
      </dsp:txBody>
      <dsp:txXfrm rot="-5400000">
        <a:off x="2" y="1848465"/>
        <a:ext cx="366537" cy="157088"/>
      </dsp:txXfrm>
    </dsp:sp>
    <dsp:sp modelId="{87E80E50-AA1A-4EAA-8138-94D1C0B17389}">
      <dsp:nvSpPr>
        <dsp:cNvPr id="0" name=""/>
        <dsp:cNvSpPr/>
      </dsp:nvSpPr>
      <dsp:spPr>
        <a:xfrm rot="5400000">
          <a:off x="2756290" y="-724556"/>
          <a:ext cx="340356" cy="5119862"/>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de-DE" sz="1400" kern="1200"/>
            <a:t>Calculate emission reductions</a:t>
          </a:r>
        </a:p>
      </dsp:txBody>
      <dsp:txXfrm rot="-5400000">
        <a:off x="366538" y="1681811"/>
        <a:ext cx="5103247" cy="307126"/>
      </dsp:txXfrm>
    </dsp:sp>
    <dsp:sp modelId="{4E8E1B30-B581-47D9-8A74-C66281F6E49B}">
      <dsp:nvSpPr>
        <dsp:cNvPr id="0" name=""/>
        <dsp:cNvSpPr/>
      </dsp:nvSpPr>
      <dsp:spPr>
        <a:xfrm rot="5400000">
          <a:off x="-78543" y="2159732"/>
          <a:ext cx="523625" cy="366537"/>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de-DE" sz="1000" kern="1200"/>
            <a:t>Step 6</a:t>
          </a:r>
        </a:p>
      </dsp:txBody>
      <dsp:txXfrm rot="-5400000">
        <a:off x="2" y="2264457"/>
        <a:ext cx="366537" cy="157088"/>
      </dsp:txXfrm>
    </dsp:sp>
    <dsp:sp modelId="{1DD6DAD8-B7A8-4DAA-80E8-F2EACB5F0C78}">
      <dsp:nvSpPr>
        <dsp:cNvPr id="0" name=""/>
        <dsp:cNvSpPr/>
      </dsp:nvSpPr>
      <dsp:spPr>
        <a:xfrm rot="5400000">
          <a:off x="2756290" y="-308563"/>
          <a:ext cx="340356" cy="5119862"/>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en-GB" sz="1400" kern="1200"/>
            <a:t>Monitor and calculate sustainable development impact</a:t>
          </a:r>
          <a:endParaRPr lang="de-DE" sz="1400" kern="1200"/>
        </a:p>
      </dsp:txBody>
      <dsp:txXfrm rot="-5400000">
        <a:off x="366538" y="2097804"/>
        <a:ext cx="5103247" cy="307126"/>
      </dsp:txXfrm>
    </dsp:sp>
  </dsp:spTree>
</dsp:drawing>
</file>

<file path=word/diagrams/layout1.xml><?xml version="1.0" encoding="utf-8"?>
<dgm:layoutDef xmlns:dgm="http://schemas.openxmlformats.org/drawingml/2006/diagram" xmlns:a="http://schemas.openxmlformats.org/drawingml/2006/main" uniqueId="urn:microsoft.com/office/officeart/2011/layout/TabList#3">
  <dgm:title val="Registerkartenliste"/>
  <dgm:desc val="Hiermit zeigen Sie nicht sequenzielle oder gruppierte Informationsblöcke an. Eignet sich gut für kleine Textmengen der Ebene 1. Der erste Text der Ebene 2 wird neben dem Text der Ebene 1 angezeigt, und die verbleibenden Texte der Ebene zwei werden unterhalb des Texts on Ebene 1 angezeigt."/>
  <dgm:catLst>
    <dgm:cat type="list" pri="4500"/>
    <dgm:cat type="officeonline" pri="11000"/>
  </dgm:catLst>
  <dgm:sampData>
    <dgm:dataModel>
      <dgm:ptLst>
        <dgm:pt modelId="0" type="doc"/>
        <dgm:pt modelId="10">
          <dgm:prSet phldr="1"/>
        </dgm:pt>
        <dgm:pt modelId="11">
          <dgm:prSet phldr="1"/>
        </dgm:pt>
        <dgm:pt modelId="12">
          <dgm:prSet phldr="1"/>
        </dgm:pt>
        <dgm:pt modelId="20">
          <dgm:prSet phldr="1"/>
        </dgm:pt>
        <dgm:pt modelId="21">
          <dgm:prSet phldr="1"/>
        </dgm:pt>
        <dgm:pt modelId="22">
          <dgm:prSet phldr="1"/>
        </dgm:pt>
        <dgm:pt modelId="30">
          <dgm:prSet phldr="1"/>
        </dgm:pt>
        <dgm:pt modelId="31">
          <dgm:prSet phldr="1"/>
        </dgm:pt>
        <dgm:pt modelId="32">
          <dgm:prSet phldr="1"/>
        </dgm:pt>
      </dgm:ptLst>
      <dgm:cxnLst>
        <dgm:cxn modelId="40" srcId="0" destId="10" srcOrd="0" destOrd="0"/>
        <dgm:cxn modelId="41" srcId="10" destId="11" srcOrd="0" destOrd="0"/>
        <dgm:cxn modelId="42" srcId="10" destId="12" srcOrd="0" destOrd="0"/>
        <dgm:cxn modelId="50" srcId="0" destId="20" srcOrd="1" destOrd="0"/>
        <dgm:cxn modelId="51" srcId="20" destId="21" srcOrd="1" destOrd="0"/>
        <dgm:cxn modelId="52" srcId="20" destId="22" srcOrd="1" destOrd="0"/>
        <dgm:cxn modelId="60" srcId="0" destId="30" srcOrd="2" destOrd="0"/>
        <dgm:cxn modelId="61" srcId="30" destId="31" srcOrd="2" destOrd="0"/>
        <dgm:cxn modelId="62" srcId="30" destId="32"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dgm:chPref val="3"/>
      <dgm:dir/>
      <dgm:animOne val="branch"/>
      <dgm:animLvl val="lvl"/>
    </dgm:varLst>
    <dgm:alg type="lin">
      <dgm:param type="linDir" val="fromT"/>
    </dgm:alg>
    <dgm:shape xmlns:r="http://schemas.openxmlformats.org/officeDocument/2006/relationships" r:blip="">
      <dgm:adjLst/>
    </dgm:shape>
    <dgm:constrLst>
      <dgm:constr type="w" for="ch" forName="Child" refType="w"/>
      <dgm:constr type="h" for="ch" forName="Child" refType="h" fact="0.6667"/>
      <dgm:constr type="primFontSz" for="des" forName="Parent" op="equ" val="65"/>
      <dgm:constr type="primFontSz" for="des" forName="Child" op="equ" val="65"/>
      <dgm:constr type="primFontSz" for="des" forName="FirstChild" op="equ" val="65"/>
      <dgm:constr type="primFontSz" for="des" forName="Child" refType="primFontSz" refFor="des" refForName="Parent" op="lte"/>
      <dgm:constr type="primFontSz" for="des" forName="FirstChild" refType="primFontSz" refFor="des" refForName="Parent" op="lte"/>
      <dgm:constr type="primFontSz" for="des" forName="Child" refType="primFontSz" refFor="des" refForName="FirstChild" op="lte"/>
      <dgm:constr type="w" for="ch" forName="composite" refType="w"/>
      <dgm:constr type="h" for="ch" forName="composite" refType="h" fact="0.3333"/>
      <dgm:constr type="sp" refType="h" refFor="ch" refForName="composite" op="equ" fact="0.05"/>
      <dgm:constr type="h" for="ch" forName="sibTrans" refType="h" refFor="ch" refForName="composite" op="equ" fact="0.05"/>
      <dgm:constr type="w" for="ch" forName="sibTrans" refType="h" refFor="ch" refForName="sibTrans" op="equ"/>
    </dgm:constrLst>
    <dgm:forEach name="nodesForEach" axis="ch" ptType="node">
      <dgm:layoutNode name="composite">
        <dgm:alg type="composite"/>
        <dgm:shape xmlns:r="http://schemas.openxmlformats.org/officeDocument/2006/relationships" r:blip="">
          <dgm:adjLst/>
        </dgm:shape>
        <dgm:choose name="Name1">
          <dgm:if name="Name2" func="var" arg="dir" op="equ" val="norm">
            <dgm:constrLst>
              <dgm:constr type="l" for="ch" forName="Accent" refType="w" fact="0"/>
              <dgm:constr type="b" for="ch" forName="Accent" refType="h"/>
              <dgm:constr type="w" for="ch" forName="Accent" refType="w"/>
              <dgm:constr type="h" for="ch" forName="Accent" refType="h" fact="0"/>
              <dgm:constr type="l" for="ch" forName="FirstChild" refType="w" fact="0.26"/>
              <dgm:constr type="t" for="ch" forName="FirstChild" refType="h" fact="0"/>
              <dgm:constr type="w" for="ch" forName="FirstChild" refType="w" fact="0.74"/>
              <dgm:constr type="h" for="ch" forName="FirstChild" refType="h"/>
              <dgm:constr type="l" for="ch" forName="Parent" refType="w" fact="0"/>
              <dgm:constr type="t" for="ch" forName="Parent" refType="h" fact="0"/>
              <dgm:constr type="w" for="ch" forName="Parent" refType="w" fact="0.26"/>
              <dgm:constr type="h" for="ch" forName="Parent" refType="h"/>
            </dgm:constrLst>
          </dgm:if>
          <dgm:else name="Name3">
            <dgm:constrLst>
              <dgm:constr type="l" for="ch" forName="Accent" refType="w" fact="0"/>
              <dgm:constr type="b" for="ch" forName="Accent" refType="h"/>
              <dgm:constr type="w" for="ch" forName="Accent" refType="w"/>
              <dgm:constr type="h" for="ch" forName="Accent" refType="h" fact="0"/>
              <dgm:constr type="r" for="ch" forName="FirstChild" refType="w" fact="0.74"/>
              <dgm:constr type="t" for="ch" forName="FirstChild" refType="h" fact="0"/>
              <dgm:constr type="w" for="ch" forName="FirstChild" refType="w" fact="0.74"/>
              <dgm:constr type="h" for="ch" forName="FirstChild" refType="h"/>
              <dgm:constr type="r" for="ch" forName="Parent" refType="w"/>
              <dgm:constr type="t" for="ch" forName="Parent" refType="h" fact="0"/>
              <dgm:constr type="w" for="ch" forName="Parent" refType="w" fact="0.26"/>
              <dgm:constr type="h" for="ch" forName="Parent" refType="h"/>
            </dgm:constrLst>
          </dgm:else>
        </dgm:choose>
        <dgm:layoutNode name="FirstChild" styleLbl="revTx">
          <dgm:varLst>
            <dgm:chMax val="0"/>
            <dgm:chPref val="0"/>
            <dgm:bulletEnabled val="1"/>
          </dgm:varLst>
          <dgm:choose name="Name4">
            <dgm:if name="Name5" func="var" arg="dir" op="equ" val="norm">
              <dgm:alg type="tx">
                <dgm:param type="parTxLTRAlign" val="l"/>
                <dgm:param type="txAnchorVert" val="b"/>
                <dgm:param type="txAnchorVertCh" val="b"/>
                <dgm:param type="parTxRTLAlign" val="l"/>
              </dgm:alg>
            </dgm:if>
            <dgm:else name="Name6">
              <dgm:alg type="tx">
                <dgm:param type="parTxLTRAlign" val="r"/>
                <dgm:param type="shpTxLTRAlignCh" val="r"/>
                <dgm:param type="txAnchorVert" val="b"/>
                <dgm:param type="txAnchorVertCh" val="b"/>
                <dgm:param type="parTxRTLAlign" val="r"/>
              </dgm:alg>
            </dgm:else>
          </dgm:choose>
          <dgm:shape xmlns:r="http://schemas.openxmlformats.org/officeDocument/2006/relationships" type="rect" r:blip="">
            <dgm:adjLst/>
          </dgm:shape>
          <dgm:choose name="Name7">
            <dgm:if name="Name8" axis="ch" ptType="node" func="cnt" op="gte" val="1">
              <dgm:presOf axis="ch desOrSelf" ptType="node node" st="1 1" cnt="1 0"/>
            </dgm:if>
            <dgm:else name="Name9">
              <dgm:presOf/>
            </dgm:else>
          </dgm:choos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name="Parent" styleLbl="alignNode1">
          <dgm:varLst>
            <dgm:chMax val="3"/>
            <dgm:chPref val="3"/>
            <dgm:bulletEnabled val="1"/>
          </dgm:varLst>
          <dgm:alg type="tx">
            <dgm:param type="shpTxLTRAlignCh" val="ctr"/>
            <dgm:param type="txAnchorVertCh" val="mid"/>
          </dgm:alg>
          <dgm:shape xmlns:r="http://schemas.openxmlformats.org/officeDocument/2006/relationships" type="round2SameRect" r:blip="">
            <dgm:adjLst>
              <dgm:adj idx="1" val="0.1667"/>
              <dgm:adj idx="2" val="0"/>
            </dgm:adjLst>
          </dgm:shape>
          <dgm:presOf axis="self" ptType="nod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name="Accent" styleLbl="parChTrans1D1">
          <dgm:alg type="sp"/>
          <dgm:shape xmlns:r="http://schemas.openxmlformats.org/officeDocument/2006/relationships" type="line" r:blip="" zOrderOff="-99999">
            <dgm:adjLst/>
          </dgm:shape>
          <dgm:presOf/>
        </dgm:layoutNode>
      </dgm:layoutNode>
      <dgm:choose name="Name10">
        <dgm:if name="Name11" axis="ch" ptType="node" st="2" cnt="1" func="cnt" op="gte" val="1">
          <dgm:layoutNode name="Child" styleLbl="revTx">
            <dgm:varLst>
              <dgm:chMax val="0"/>
              <dgm:chPref val="0"/>
              <dgm:bulletEnabled val="1"/>
            </dgm:varLst>
            <dgm:choose name="Name12">
              <dgm:if name="Name13" func="var" arg="dir" op="equ" val="norm">
                <dgm:alg type="tx">
                  <dgm:param type="stBulletLvl" val="1"/>
                  <dgm:param type="parTxLTRAlign" val="l"/>
                  <dgm:param type="parTxRTLAlign" val="l"/>
                  <dgm:param type="txAnchorVert" val="t"/>
                </dgm:alg>
              </dgm:if>
              <dgm:else name="Name14">
                <dgm:alg type="tx">
                  <dgm:param type="stBulletLvl" val="1"/>
                  <dgm:param type="parTxLTRAlign" val="r"/>
                  <dgm:param type="shpTxLTRAlignCh" val="r"/>
                  <dgm:param type="txAnchorVert" val="t"/>
                  <dgm:param type="parTxRTLAlign" val="r"/>
                </dgm:alg>
              </dgm:else>
            </dgm:choose>
            <dgm:shape xmlns:r="http://schemas.openxmlformats.org/officeDocument/2006/relationships" type="rect" r:blip="">
              <dgm:adjLst/>
            </dgm:shape>
            <dgm:presOf axis="ch desOrSelf" ptType="node node" st="2 1" cnt="0 0"/>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if>
        <dgm:else name="Name15"/>
      </dgm:choos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C67B00BAEB6049D5A0790BCB66996002"/>
        <w:category>
          <w:name w:val="General"/>
          <w:gallery w:val="placeholder"/>
        </w:category>
        <w:types>
          <w:type w:val="bbPlcHdr"/>
        </w:types>
        <w:behaviors>
          <w:behavior w:val="content"/>
        </w:behaviors>
        <w:guid w:val="{273D4618-CB7B-4A2A-B937-A4CA15187620}"/>
      </w:docPartPr>
      <w:docPartBody>
        <w:p w:rsidR="000032DB" w:rsidRDefault="000032DB" w:rsidP="000032DB">
          <w:pPr>
            <w:pStyle w:val="C67B00BAEB6049D5A0790BCB66996002"/>
          </w:pPr>
          <w:r>
            <w:rPr>
              <w:caps/>
              <w:color w:val="FFFFFF" w:themeColor="background1"/>
              <w:sz w:val="18"/>
              <w:szCs w:val="18"/>
            </w:rPr>
            <w:t>[Document title]</w:t>
          </w:r>
        </w:p>
      </w:docPartBody>
    </w:docPart>
    <w:docPart>
      <w:docPartPr>
        <w:name w:val="D8ABC98B13584C3DAE3B2BC07C40AD5B"/>
        <w:category>
          <w:name w:val="General"/>
          <w:gallery w:val="placeholder"/>
        </w:category>
        <w:types>
          <w:type w:val="bbPlcHdr"/>
        </w:types>
        <w:behaviors>
          <w:behavior w:val="content"/>
        </w:behaviors>
        <w:guid w:val="{C1D7B411-ED77-49D6-81A2-2A6C5B9DFBBB}"/>
      </w:docPartPr>
      <w:docPartBody>
        <w:p w:rsidR="000032DB" w:rsidRDefault="000032DB" w:rsidP="000032DB">
          <w:pPr>
            <w:pStyle w:val="D8ABC98B13584C3DAE3B2BC07C40AD5B"/>
          </w:pPr>
          <w:r>
            <w:rPr>
              <w:caps/>
              <w:color w:val="FFFFFF" w:themeColor="background1"/>
              <w:sz w:val="18"/>
              <w:szCs w:val="18"/>
            </w:rPr>
            <w:t>[Author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2AEF" w:usb1="4000207B" w:usb2="00000000" w:usb3="00000000" w:csb0="000001FF" w:csb1="00000000"/>
  </w:font>
  <w:font w:name="Arial">
    <w:panose1 w:val="020B0604020202020204"/>
    <w:charset w:val="00"/>
    <w:family w:val="swiss"/>
    <w:pitch w:val="variable"/>
    <w:sig w:usb0="E0002E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HelveticaNeue">
    <w:altName w:val="Arial"/>
    <w:panose1 w:val="00000000000000000000"/>
    <w:charset w:val="00"/>
    <w:family w:val="auto"/>
    <w:notTrueType/>
    <w:pitch w:val="default"/>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32DB"/>
    <w:rsid w:val="000032DB"/>
    <w:rsid w:val="00045036"/>
    <w:rsid w:val="00753B62"/>
    <w:rsid w:val="00807D25"/>
    <w:rsid w:val="00D01E47"/>
    <w:rsid w:val="00D5586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67B00BAEB6049D5A0790BCB66996002">
    <w:name w:val="C67B00BAEB6049D5A0790BCB66996002"/>
    <w:rsid w:val="000032DB"/>
  </w:style>
  <w:style w:type="paragraph" w:customStyle="1" w:styleId="D8ABC98B13584C3DAE3B2BC07C40AD5B">
    <w:name w:val="D8ABC98B13584C3DAE3B2BC07C40AD5B"/>
    <w:rsid w:val="000032D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465F867-8D0B-4758-B92D-30B6B79E6FAA}"/>
</file>

<file path=customXml/itemProps2.xml><?xml version="1.0" encoding="utf-8"?>
<ds:datastoreItem xmlns:ds="http://schemas.openxmlformats.org/officeDocument/2006/customXml" ds:itemID="{2EF14933-6315-43D1-A0FE-9DF2D9032200}"/>
</file>

<file path=customXml/itemProps3.xml><?xml version="1.0" encoding="utf-8"?>
<ds:datastoreItem xmlns:ds="http://schemas.openxmlformats.org/officeDocument/2006/customXml" ds:itemID="{A5E3C63E-7CD7-4002-9344-6D60EEEC1CA6}"/>
</file>

<file path=customXml/itemProps4.xml><?xml version="1.0" encoding="utf-8"?>
<ds:datastoreItem xmlns:ds="http://schemas.openxmlformats.org/officeDocument/2006/customXml" ds:itemID="{4D97070B-A591-45F3-9BCB-70EC0A70E5B7}"/>
</file>

<file path=docProps/app.xml><?xml version="1.0" encoding="utf-8"?>
<Properties xmlns="http://schemas.openxmlformats.org/officeDocument/2006/extended-properties" xmlns:vt="http://schemas.openxmlformats.org/officeDocument/2006/docPropsVTypes">
  <Template>Normal</Template>
  <TotalTime>0</TotalTime>
  <Pages>60</Pages>
  <Words>15341</Words>
  <Characters>87447</Characters>
  <Application>Microsoft Office Word</Application>
  <DocSecurity>0</DocSecurity>
  <Lines>728</Lines>
  <Paragraphs>205</Paragraphs>
  <ScaleCrop>false</ScaleCrop>
  <HeadingPairs>
    <vt:vector size="2" baseType="variant">
      <vt:variant>
        <vt:lpstr>Title</vt:lpstr>
      </vt:variant>
      <vt:variant>
        <vt:i4>1</vt:i4>
      </vt:variant>
    </vt:vector>
  </HeadingPairs>
  <TitlesOfParts>
    <vt:vector size="1" baseType="lpstr">
      <vt:lpstr>NAMA Rail Bangladesh</vt:lpstr>
    </vt:vector>
  </TitlesOfParts>
  <Company/>
  <LinksUpToDate>false</LinksUpToDate>
  <CharactersWithSpaces>102583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NAMA Rail Bangladesh</dc:title>
  <dc:subject/>
  <dc:creator>Grütter consulitng</dc:creator>
  <cp:keywords/>
  <dc:description/>
  <cp:lastModifiedBy>jurg grutter</cp:lastModifiedBy>
  <cp:revision>2</cp:revision>
  <dcterms:created xsi:type="dcterms:W3CDTF">2016-11-06T14:54:00Z</dcterms:created>
  <dcterms:modified xsi:type="dcterms:W3CDTF">2016-11-06T14:54:00Z</dcterms:modified>
</cp:coreProperties>
</file>